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DE" w:rsidRPr="002710DE" w:rsidRDefault="00604DD4" w:rsidP="002710DE">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國內</w:t>
      </w:r>
      <w:bookmarkStart w:id="0" w:name="_GoBack"/>
      <w:bookmarkEnd w:id="0"/>
      <w:r w:rsidR="002710DE" w:rsidRPr="002710DE">
        <w:rPr>
          <w:rFonts w:asciiTheme="minorEastAsia" w:eastAsiaTheme="minorEastAsia" w:hAnsiTheme="minorEastAsia" w:hint="eastAsia"/>
          <w:b/>
          <w:sz w:val="28"/>
          <w:szCs w:val="28"/>
        </w:rPr>
        <w:t>用於</w:t>
      </w:r>
      <w:r w:rsidR="004B4C0E" w:rsidRPr="002710DE">
        <w:rPr>
          <w:rFonts w:asciiTheme="minorEastAsia" w:eastAsiaTheme="minorEastAsia" w:hAnsiTheme="minorEastAsia" w:hint="eastAsia"/>
          <w:b/>
          <w:sz w:val="28"/>
          <w:szCs w:val="28"/>
        </w:rPr>
        <w:t>兒童</w:t>
      </w:r>
      <w:r w:rsidR="002710DE" w:rsidRPr="002710DE">
        <w:rPr>
          <w:rFonts w:asciiTheme="minorEastAsia" w:eastAsiaTheme="minorEastAsia" w:hAnsiTheme="minorEastAsia" w:hint="eastAsia"/>
          <w:b/>
          <w:sz w:val="28"/>
          <w:szCs w:val="28"/>
        </w:rPr>
        <w:t>與</w:t>
      </w:r>
      <w:r w:rsidR="004B4C0E" w:rsidRPr="002710DE">
        <w:rPr>
          <w:rFonts w:asciiTheme="minorEastAsia" w:eastAsiaTheme="minorEastAsia" w:hAnsiTheme="minorEastAsia" w:hint="eastAsia"/>
          <w:b/>
          <w:sz w:val="28"/>
          <w:szCs w:val="28"/>
        </w:rPr>
        <w:t>青少年校園生活的量表與測驗</w:t>
      </w:r>
      <w:r w:rsidR="002710DE" w:rsidRPr="002710DE">
        <w:rPr>
          <w:rFonts w:asciiTheme="minorEastAsia" w:eastAsiaTheme="minorEastAsia" w:hAnsiTheme="minorEastAsia" w:hint="eastAsia"/>
          <w:b/>
          <w:sz w:val="28"/>
          <w:szCs w:val="28"/>
        </w:rPr>
        <w:t>(列舉)</w:t>
      </w:r>
    </w:p>
    <w:p w:rsidR="005B7D0C" w:rsidRDefault="002710DE" w:rsidP="002710DE">
      <w:pPr>
        <w:jc w:val="right"/>
        <w:rPr>
          <w:rFonts w:asciiTheme="minorEastAsia" w:eastAsiaTheme="minorEastAsia" w:hAnsiTheme="minorEastAsia"/>
        </w:rPr>
      </w:pPr>
      <w:r w:rsidRPr="002710DE">
        <w:rPr>
          <w:rFonts w:asciiTheme="minorEastAsia" w:eastAsiaTheme="minorEastAsia" w:hAnsiTheme="minorEastAsia" w:hint="eastAsia"/>
        </w:rPr>
        <w:t>倪啟修&amp;熊思嘉整理</w:t>
      </w:r>
    </w:p>
    <w:p w:rsidR="002710DE" w:rsidRPr="004760D0" w:rsidRDefault="004760D0" w:rsidP="002710DE">
      <w:pPr>
        <w:jc w:val="right"/>
        <w:rPr>
          <w:rFonts w:asciiTheme="minorEastAsia" w:eastAsiaTheme="minorEastAsia" w:hAnsiTheme="minorEastAsia"/>
          <w:color w:val="FF0000"/>
        </w:rPr>
      </w:pPr>
      <w:r w:rsidRPr="004760D0">
        <w:rPr>
          <w:rFonts w:asciiTheme="minorEastAsia" w:eastAsiaTheme="minorEastAsia" w:hAnsiTheme="minorEastAsia" w:hint="eastAsia"/>
          <w:color w:val="FF0000"/>
        </w:rPr>
        <w:t>紅字表示中心</w:t>
      </w:r>
      <w:r w:rsidR="00604DD4">
        <w:rPr>
          <w:rFonts w:asciiTheme="minorEastAsia" w:eastAsiaTheme="minorEastAsia" w:hAnsiTheme="minorEastAsia" w:hint="eastAsia"/>
          <w:color w:val="FF0000"/>
        </w:rPr>
        <w:t>可提供</w:t>
      </w:r>
    </w:p>
    <w:p w:rsidR="004B4C0E" w:rsidRPr="00837DF1" w:rsidRDefault="004B4C0E" w:rsidP="004C7601">
      <w:pPr>
        <w:rPr>
          <w:b/>
        </w:rPr>
      </w:pPr>
      <w:r w:rsidRPr="00837DF1">
        <w:rPr>
          <w:rFonts w:hint="eastAsia"/>
          <w:b/>
        </w:rPr>
        <w:t>心理出版社</w:t>
      </w:r>
    </w:p>
    <w:tbl>
      <w:tblPr>
        <w:tblStyle w:val="a3"/>
        <w:tblW w:w="0" w:type="auto"/>
        <w:tblLayout w:type="fixed"/>
        <w:tblLook w:val="04A0"/>
      </w:tblPr>
      <w:tblGrid>
        <w:gridCol w:w="534"/>
        <w:gridCol w:w="1417"/>
        <w:gridCol w:w="992"/>
        <w:gridCol w:w="5579"/>
      </w:tblGrid>
      <w:tr w:rsidR="00924709" w:rsidTr="00924709">
        <w:tc>
          <w:tcPr>
            <w:tcW w:w="534" w:type="dxa"/>
          </w:tcPr>
          <w:p w:rsidR="00924709" w:rsidRDefault="00924709" w:rsidP="004C7601">
            <w:r>
              <w:rPr>
                <w:rFonts w:hint="eastAsia"/>
              </w:rPr>
              <w:t>序號</w:t>
            </w:r>
          </w:p>
        </w:tc>
        <w:tc>
          <w:tcPr>
            <w:tcW w:w="1417" w:type="dxa"/>
          </w:tcPr>
          <w:p w:rsidR="00924709" w:rsidRDefault="00924709" w:rsidP="004C7601">
            <w:r>
              <w:rPr>
                <w:rFonts w:hint="eastAsia"/>
              </w:rPr>
              <w:t>測驗名稱</w:t>
            </w:r>
          </w:p>
        </w:tc>
        <w:tc>
          <w:tcPr>
            <w:tcW w:w="992" w:type="dxa"/>
          </w:tcPr>
          <w:p w:rsidR="00924709" w:rsidRDefault="00924709" w:rsidP="004C7601">
            <w:r>
              <w:rPr>
                <w:rFonts w:hint="eastAsia"/>
              </w:rPr>
              <w:t>適用對象</w:t>
            </w:r>
          </w:p>
        </w:tc>
        <w:tc>
          <w:tcPr>
            <w:tcW w:w="5579" w:type="dxa"/>
          </w:tcPr>
          <w:p w:rsidR="00924709" w:rsidRDefault="00924709" w:rsidP="004C7601">
            <w:r>
              <w:rPr>
                <w:rFonts w:hint="eastAsia"/>
              </w:rPr>
              <w:t>測驗功能說明</w:t>
            </w:r>
          </w:p>
        </w:tc>
      </w:tr>
      <w:tr w:rsidR="00924709" w:rsidTr="00924709">
        <w:tc>
          <w:tcPr>
            <w:tcW w:w="534" w:type="dxa"/>
          </w:tcPr>
          <w:p w:rsidR="00924709" w:rsidRPr="002710DE" w:rsidRDefault="00924709" w:rsidP="004C7601">
            <w:pPr>
              <w:rPr>
                <w:color w:val="FF0000"/>
              </w:rPr>
            </w:pPr>
            <w:r>
              <w:rPr>
                <w:rFonts w:hint="eastAsia"/>
                <w:color w:val="FF0000"/>
              </w:rPr>
              <w:t>1</w:t>
            </w:r>
          </w:p>
        </w:tc>
        <w:tc>
          <w:tcPr>
            <w:tcW w:w="1417" w:type="dxa"/>
          </w:tcPr>
          <w:p w:rsidR="00924709" w:rsidRPr="002710DE" w:rsidRDefault="00924709" w:rsidP="004C7601">
            <w:pPr>
              <w:rPr>
                <w:color w:val="FF0000"/>
              </w:rPr>
            </w:pPr>
            <w:r w:rsidRPr="002710DE">
              <w:rPr>
                <w:rFonts w:hint="eastAsia"/>
                <w:color w:val="FF0000"/>
              </w:rPr>
              <w:t>國小兒童自我概念量表</w:t>
            </w:r>
          </w:p>
        </w:tc>
        <w:tc>
          <w:tcPr>
            <w:tcW w:w="992" w:type="dxa"/>
          </w:tcPr>
          <w:p w:rsidR="00924709" w:rsidRPr="002710DE" w:rsidRDefault="00924709" w:rsidP="004C7601">
            <w:pPr>
              <w:rPr>
                <w:color w:val="FF0000"/>
              </w:rPr>
            </w:pPr>
            <w:r w:rsidRPr="002710DE">
              <w:rPr>
                <w:rFonts w:hint="eastAsia"/>
                <w:color w:val="FF0000"/>
              </w:rPr>
              <w:t>四年級至六年級</w:t>
            </w:r>
          </w:p>
        </w:tc>
        <w:tc>
          <w:tcPr>
            <w:tcW w:w="5579" w:type="dxa"/>
          </w:tcPr>
          <w:p w:rsidR="00924709" w:rsidRPr="006D4D55" w:rsidRDefault="00924709" w:rsidP="006D4D55">
            <w:pPr>
              <w:pStyle w:val="a4"/>
              <w:numPr>
                <w:ilvl w:val="0"/>
                <w:numId w:val="9"/>
              </w:numPr>
              <w:ind w:leftChars="0"/>
              <w:rPr>
                <w:color w:val="FF0000"/>
              </w:rPr>
            </w:pPr>
            <w:r w:rsidRPr="006D4D55">
              <w:rPr>
                <w:rFonts w:hint="eastAsia"/>
                <w:color w:val="FF0000"/>
              </w:rPr>
              <w:t>了解國小中高年級兒童自我概念的發展狀況。</w:t>
            </w:r>
          </w:p>
          <w:p w:rsidR="00924709" w:rsidRPr="006D4D55" w:rsidRDefault="00924709" w:rsidP="004C7601">
            <w:pPr>
              <w:pStyle w:val="a4"/>
              <w:numPr>
                <w:ilvl w:val="0"/>
                <w:numId w:val="9"/>
              </w:numPr>
              <w:ind w:leftChars="0"/>
              <w:rPr>
                <w:color w:val="FF0000"/>
              </w:rPr>
            </w:pPr>
            <w:r w:rsidRPr="006D4D55">
              <w:rPr>
                <w:rFonts w:hint="eastAsia"/>
                <w:color w:val="FF0000"/>
              </w:rPr>
              <w:t>協助兒童提升自我概念並增強生活方面的適應。</w:t>
            </w:r>
          </w:p>
        </w:tc>
      </w:tr>
      <w:tr w:rsidR="00924709" w:rsidTr="0068295D">
        <w:trPr>
          <w:trHeight w:val="1189"/>
        </w:trPr>
        <w:tc>
          <w:tcPr>
            <w:tcW w:w="534" w:type="dxa"/>
          </w:tcPr>
          <w:p w:rsidR="00924709" w:rsidRPr="002710DE" w:rsidRDefault="00924709" w:rsidP="004C7601">
            <w:pPr>
              <w:rPr>
                <w:color w:val="FF0000"/>
              </w:rPr>
            </w:pPr>
            <w:r>
              <w:rPr>
                <w:rFonts w:hint="eastAsia"/>
                <w:color w:val="FF0000"/>
              </w:rPr>
              <w:t>2</w:t>
            </w:r>
          </w:p>
        </w:tc>
        <w:tc>
          <w:tcPr>
            <w:tcW w:w="1417" w:type="dxa"/>
          </w:tcPr>
          <w:p w:rsidR="00924709" w:rsidRPr="002710DE" w:rsidRDefault="00924709" w:rsidP="004C7601">
            <w:pPr>
              <w:rPr>
                <w:color w:val="FF0000"/>
              </w:rPr>
            </w:pPr>
            <w:r w:rsidRPr="002710DE">
              <w:rPr>
                <w:rFonts w:hint="eastAsia"/>
                <w:color w:val="FF0000"/>
              </w:rPr>
              <w:t>國小學童生活適應量表</w:t>
            </w:r>
          </w:p>
        </w:tc>
        <w:tc>
          <w:tcPr>
            <w:tcW w:w="992" w:type="dxa"/>
          </w:tcPr>
          <w:p w:rsidR="00924709" w:rsidRPr="002710DE" w:rsidRDefault="00924709" w:rsidP="004C7601">
            <w:pPr>
              <w:rPr>
                <w:color w:val="FF0000"/>
              </w:rPr>
            </w:pPr>
            <w:r w:rsidRPr="002710DE">
              <w:rPr>
                <w:rFonts w:hint="eastAsia"/>
                <w:color w:val="FF0000"/>
              </w:rPr>
              <w:t>四年級至六年級</w:t>
            </w:r>
          </w:p>
        </w:tc>
        <w:tc>
          <w:tcPr>
            <w:tcW w:w="5579" w:type="dxa"/>
          </w:tcPr>
          <w:p w:rsidR="00924709" w:rsidRPr="006D4D55" w:rsidRDefault="00924709" w:rsidP="006D4D55">
            <w:pPr>
              <w:pStyle w:val="a4"/>
              <w:numPr>
                <w:ilvl w:val="0"/>
                <w:numId w:val="10"/>
              </w:numPr>
              <w:ind w:leftChars="0"/>
              <w:rPr>
                <w:color w:val="FF0000"/>
              </w:rPr>
            </w:pPr>
            <w:r w:rsidRPr="006D4D55">
              <w:rPr>
                <w:rFonts w:hint="eastAsia"/>
                <w:color w:val="FF0000"/>
              </w:rPr>
              <w:t>評量影響個人心理健康的正、負兩方面的因素。</w:t>
            </w:r>
          </w:p>
          <w:p w:rsidR="00924709" w:rsidRDefault="00924709" w:rsidP="004C7601">
            <w:pPr>
              <w:pStyle w:val="a4"/>
              <w:numPr>
                <w:ilvl w:val="0"/>
                <w:numId w:val="10"/>
              </w:numPr>
              <w:ind w:leftChars="0"/>
              <w:rPr>
                <w:color w:val="FF0000"/>
              </w:rPr>
            </w:pPr>
            <w:r w:rsidRPr="006D4D55">
              <w:rPr>
                <w:rFonts w:hint="eastAsia"/>
                <w:color w:val="FF0000"/>
              </w:rPr>
              <w:t>有效掌握兒童生活適應狀況的整體表現。</w:t>
            </w:r>
          </w:p>
          <w:p w:rsidR="00924709" w:rsidRPr="006D4D55" w:rsidRDefault="00924709" w:rsidP="004C7601">
            <w:pPr>
              <w:pStyle w:val="a4"/>
              <w:numPr>
                <w:ilvl w:val="0"/>
                <w:numId w:val="10"/>
              </w:numPr>
              <w:ind w:leftChars="0"/>
              <w:rPr>
                <w:color w:val="FF0000"/>
              </w:rPr>
            </w:pPr>
            <w:r w:rsidRPr="006D4D55">
              <w:rPr>
                <w:rFonts w:hint="eastAsia"/>
                <w:color w:val="FF0000"/>
              </w:rPr>
              <w:t>可看出兒童生活適應受到那些因素影響。</w:t>
            </w:r>
          </w:p>
        </w:tc>
      </w:tr>
      <w:tr w:rsidR="00924709" w:rsidTr="0068295D">
        <w:trPr>
          <w:trHeight w:val="2255"/>
        </w:trPr>
        <w:tc>
          <w:tcPr>
            <w:tcW w:w="534" w:type="dxa"/>
          </w:tcPr>
          <w:p w:rsidR="00924709" w:rsidRPr="002710DE" w:rsidRDefault="00924709" w:rsidP="004C7601">
            <w:pPr>
              <w:rPr>
                <w:color w:val="FF0000"/>
              </w:rPr>
            </w:pPr>
            <w:r>
              <w:rPr>
                <w:rFonts w:hint="eastAsia"/>
                <w:color w:val="FF0000"/>
              </w:rPr>
              <w:t>3</w:t>
            </w:r>
          </w:p>
        </w:tc>
        <w:tc>
          <w:tcPr>
            <w:tcW w:w="1417" w:type="dxa"/>
          </w:tcPr>
          <w:p w:rsidR="00924709" w:rsidRPr="002710DE" w:rsidRDefault="00924709" w:rsidP="004C7601">
            <w:pPr>
              <w:rPr>
                <w:color w:val="FF0000"/>
              </w:rPr>
            </w:pPr>
            <w:r w:rsidRPr="002710DE">
              <w:rPr>
                <w:rFonts w:hint="eastAsia"/>
                <w:color w:val="FF0000"/>
              </w:rPr>
              <w:t>「我的人生」量表</w:t>
            </w:r>
            <w:r w:rsidRPr="002710DE">
              <w:rPr>
                <w:rFonts w:hint="eastAsia"/>
                <w:color w:val="FF0000"/>
              </w:rPr>
              <w:t>-</w:t>
            </w:r>
            <w:r w:rsidRPr="002710DE">
              <w:rPr>
                <w:rFonts w:hint="eastAsia"/>
                <w:color w:val="FF0000"/>
              </w:rPr>
              <w:t>學生自我傷害行為篩檢</w:t>
            </w:r>
            <w:r w:rsidRPr="002710DE">
              <w:rPr>
                <w:rFonts w:hint="eastAsia"/>
                <w:color w:val="FF0000"/>
              </w:rPr>
              <w:t>(My Life Inventory)</w:t>
            </w:r>
          </w:p>
        </w:tc>
        <w:tc>
          <w:tcPr>
            <w:tcW w:w="992" w:type="dxa"/>
          </w:tcPr>
          <w:p w:rsidR="00924709" w:rsidRPr="002710DE" w:rsidRDefault="00924709" w:rsidP="004C7601">
            <w:pPr>
              <w:rPr>
                <w:color w:val="FF0000"/>
              </w:rPr>
            </w:pPr>
            <w:r w:rsidRPr="002710DE">
              <w:rPr>
                <w:rFonts w:hint="eastAsia"/>
                <w:color w:val="FF0000"/>
              </w:rPr>
              <w:t>國中至高中職</w:t>
            </w:r>
          </w:p>
        </w:tc>
        <w:tc>
          <w:tcPr>
            <w:tcW w:w="5579" w:type="dxa"/>
          </w:tcPr>
          <w:p w:rsidR="00924709" w:rsidRPr="006D4D55" w:rsidRDefault="00924709" w:rsidP="006D4D55">
            <w:pPr>
              <w:pStyle w:val="a4"/>
              <w:numPr>
                <w:ilvl w:val="0"/>
                <w:numId w:val="11"/>
              </w:numPr>
              <w:ind w:leftChars="0"/>
              <w:rPr>
                <w:color w:val="FF0000"/>
              </w:rPr>
            </w:pPr>
            <w:r w:rsidRPr="006D4D55">
              <w:rPr>
                <w:rFonts w:hint="eastAsia"/>
                <w:color w:val="FF0000"/>
              </w:rPr>
              <w:t>全面性篩選具有自我傷害傾向的學生，減少自殺的產生。</w:t>
            </w:r>
          </w:p>
          <w:p w:rsidR="00924709" w:rsidRDefault="00924709" w:rsidP="004C7601">
            <w:pPr>
              <w:pStyle w:val="a4"/>
              <w:numPr>
                <w:ilvl w:val="0"/>
                <w:numId w:val="11"/>
              </w:numPr>
              <w:ind w:leftChars="0"/>
              <w:rPr>
                <w:color w:val="FF0000"/>
              </w:rPr>
            </w:pPr>
            <w:r w:rsidRPr="006D4D55">
              <w:rPr>
                <w:rFonts w:hint="eastAsia"/>
                <w:color w:val="FF0000"/>
              </w:rPr>
              <w:t>可突破學生的防禦心，偵測隱瞞自殺意念的學生。</w:t>
            </w:r>
          </w:p>
          <w:p w:rsidR="00924709" w:rsidRPr="006D4D55" w:rsidRDefault="00924709" w:rsidP="004C7601">
            <w:pPr>
              <w:pStyle w:val="a4"/>
              <w:numPr>
                <w:ilvl w:val="0"/>
                <w:numId w:val="11"/>
              </w:numPr>
              <w:ind w:leftChars="0"/>
              <w:rPr>
                <w:color w:val="FF0000"/>
              </w:rPr>
            </w:pPr>
            <w:r w:rsidRPr="006D4D55">
              <w:rPr>
                <w:rFonts w:hint="eastAsia"/>
                <w:color w:val="FF0000"/>
              </w:rPr>
              <w:t>提供探討學生正負向人生價值，作為有關生命教學成效檢核之用。</w:t>
            </w:r>
          </w:p>
        </w:tc>
      </w:tr>
      <w:tr w:rsidR="00924709" w:rsidTr="0068295D">
        <w:trPr>
          <w:trHeight w:val="1619"/>
        </w:trPr>
        <w:tc>
          <w:tcPr>
            <w:tcW w:w="534" w:type="dxa"/>
          </w:tcPr>
          <w:p w:rsidR="00924709" w:rsidRPr="006815C8" w:rsidRDefault="00924709" w:rsidP="004C7601">
            <w:pPr>
              <w:rPr>
                <w:color w:val="FF0000"/>
              </w:rPr>
            </w:pPr>
            <w:r>
              <w:rPr>
                <w:rFonts w:hint="eastAsia"/>
                <w:color w:val="FF0000"/>
              </w:rPr>
              <w:t>4</w:t>
            </w:r>
          </w:p>
        </w:tc>
        <w:tc>
          <w:tcPr>
            <w:tcW w:w="1417" w:type="dxa"/>
          </w:tcPr>
          <w:p w:rsidR="00924709" w:rsidRPr="002710DE" w:rsidRDefault="00924709" w:rsidP="004C7601">
            <w:pPr>
              <w:rPr>
                <w:color w:val="FF0000"/>
              </w:rPr>
            </w:pPr>
            <w:r w:rsidRPr="006815C8">
              <w:rPr>
                <w:rFonts w:hint="eastAsia"/>
                <w:color w:val="FF0000"/>
              </w:rPr>
              <w:t>中學生人際關係量表</w:t>
            </w:r>
          </w:p>
        </w:tc>
        <w:tc>
          <w:tcPr>
            <w:tcW w:w="992" w:type="dxa"/>
          </w:tcPr>
          <w:p w:rsidR="00924709" w:rsidRPr="002710DE" w:rsidRDefault="00924709" w:rsidP="004C7601">
            <w:pPr>
              <w:rPr>
                <w:color w:val="FF0000"/>
              </w:rPr>
            </w:pPr>
            <w:r w:rsidRPr="006815C8">
              <w:rPr>
                <w:rFonts w:hint="eastAsia"/>
                <w:color w:val="FF0000"/>
              </w:rPr>
              <w:t>七年級至高三</w:t>
            </w:r>
          </w:p>
        </w:tc>
        <w:tc>
          <w:tcPr>
            <w:tcW w:w="5579" w:type="dxa"/>
          </w:tcPr>
          <w:p w:rsidR="00924709" w:rsidRPr="002710DE" w:rsidRDefault="00924709" w:rsidP="004C7601">
            <w:pPr>
              <w:rPr>
                <w:color w:val="FF0000"/>
              </w:rPr>
            </w:pPr>
            <w:r w:rsidRPr="006815C8">
              <w:rPr>
                <w:rFonts w:hint="eastAsia"/>
                <w:color w:val="FF0000"/>
              </w:rPr>
              <w:t>了解中學生在同儕人際關係之現狀與能力，協助教師了解與預測學生在校人際關係的表現與適應情形，藉此及早發現需要關懷的學生，作為中學生教育與輔導工作之參考。</w:t>
            </w:r>
          </w:p>
        </w:tc>
      </w:tr>
      <w:tr w:rsidR="00924709" w:rsidTr="0068295D">
        <w:trPr>
          <w:trHeight w:val="3034"/>
        </w:trPr>
        <w:tc>
          <w:tcPr>
            <w:tcW w:w="534" w:type="dxa"/>
          </w:tcPr>
          <w:p w:rsidR="00924709" w:rsidRPr="004B4C0E" w:rsidRDefault="00924709" w:rsidP="004C7601">
            <w:r>
              <w:rPr>
                <w:rFonts w:hint="eastAsia"/>
              </w:rPr>
              <w:t>5</w:t>
            </w:r>
          </w:p>
        </w:tc>
        <w:tc>
          <w:tcPr>
            <w:tcW w:w="1417" w:type="dxa"/>
          </w:tcPr>
          <w:p w:rsidR="00924709" w:rsidRPr="004B4C0E" w:rsidRDefault="00924709" w:rsidP="004C7601">
            <w:r w:rsidRPr="004B4C0E">
              <w:rPr>
                <w:rFonts w:hint="eastAsia"/>
              </w:rPr>
              <w:t>青少年社會行為評量表</w:t>
            </w:r>
            <w:r w:rsidRPr="004B4C0E">
              <w:rPr>
                <w:rFonts w:hint="eastAsia"/>
              </w:rPr>
              <w:t>(ASBS)(Adolescent Social Behavior Scale)</w:t>
            </w:r>
          </w:p>
        </w:tc>
        <w:tc>
          <w:tcPr>
            <w:tcW w:w="992" w:type="dxa"/>
          </w:tcPr>
          <w:p w:rsidR="00924709" w:rsidRPr="004B4C0E" w:rsidRDefault="00924709" w:rsidP="004C7601">
            <w:r w:rsidRPr="004B4C0E">
              <w:rPr>
                <w:rFonts w:hint="eastAsia"/>
              </w:rPr>
              <w:t>六年級至九年級</w:t>
            </w:r>
          </w:p>
        </w:tc>
        <w:tc>
          <w:tcPr>
            <w:tcW w:w="5579" w:type="dxa"/>
          </w:tcPr>
          <w:p w:rsidR="00924709" w:rsidRDefault="00924709" w:rsidP="006D4D55">
            <w:pPr>
              <w:pStyle w:val="a4"/>
              <w:numPr>
                <w:ilvl w:val="0"/>
                <w:numId w:val="12"/>
              </w:numPr>
              <w:ind w:leftChars="0"/>
            </w:pPr>
            <w:r>
              <w:rPr>
                <w:rFonts w:hint="eastAsia"/>
              </w:rPr>
              <w:t>利用多元評量的方式診斷青少年社會適應問題。</w:t>
            </w:r>
          </w:p>
          <w:p w:rsidR="00924709" w:rsidRDefault="00924709" w:rsidP="004C7601">
            <w:pPr>
              <w:pStyle w:val="a4"/>
              <w:numPr>
                <w:ilvl w:val="0"/>
                <w:numId w:val="12"/>
              </w:numPr>
              <w:ind w:leftChars="0"/>
            </w:pPr>
            <w:r>
              <w:rPr>
                <w:rFonts w:hint="eastAsia"/>
              </w:rPr>
              <w:t>引導對社會適應不良學生之介入，由不適應行為問題之焦點，擴大注意到適應行為的缺陷問題，以期調整學校對青少年社會適應問題之介入策略。</w:t>
            </w:r>
          </w:p>
          <w:p w:rsidR="00924709" w:rsidRDefault="00924709" w:rsidP="004C7601">
            <w:pPr>
              <w:pStyle w:val="a4"/>
              <w:numPr>
                <w:ilvl w:val="0"/>
                <w:numId w:val="12"/>
              </w:numPr>
              <w:ind w:leftChars="0"/>
            </w:pPr>
            <w:r>
              <w:rPr>
                <w:rFonts w:hint="eastAsia"/>
              </w:rPr>
              <w:t>提供學校發現與鑑定嚴重情緒障礙學生，由篩選到特殊教育資格的鑑定，以收及早介入之效。</w:t>
            </w:r>
          </w:p>
          <w:p w:rsidR="00924709" w:rsidRDefault="00924709" w:rsidP="004C7601">
            <w:pPr>
              <w:pStyle w:val="a4"/>
              <w:numPr>
                <w:ilvl w:val="0"/>
                <w:numId w:val="12"/>
              </w:numPr>
              <w:ind w:leftChars="0"/>
            </w:pPr>
            <w:r>
              <w:rPr>
                <w:rFonts w:hint="eastAsia"/>
              </w:rPr>
              <w:t>供社會技巧訓練課程之訓練前、後表現的評量。</w:t>
            </w:r>
          </w:p>
        </w:tc>
      </w:tr>
      <w:tr w:rsidR="00924709" w:rsidTr="00924709">
        <w:tc>
          <w:tcPr>
            <w:tcW w:w="534" w:type="dxa"/>
          </w:tcPr>
          <w:p w:rsidR="00924709" w:rsidRPr="004B4C0E" w:rsidRDefault="00924709" w:rsidP="004C7601">
            <w:r>
              <w:rPr>
                <w:rFonts w:hint="eastAsia"/>
              </w:rPr>
              <w:t>6</w:t>
            </w:r>
          </w:p>
        </w:tc>
        <w:tc>
          <w:tcPr>
            <w:tcW w:w="1417" w:type="dxa"/>
          </w:tcPr>
          <w:p w:rsidR="00924709" w:rsidRPr="004B4C0E" w:rsidRDefault="00924709" w:rsidP="004C7601">
            <w:r w:rsidRPr="004B4C0E">
              <w:rPr>
                <w:rFonts w:hint="eastAsia"/>
              </w:rPr>
              <w:t>行為與情緒評量表</w:t>
            </w:r>
            <w:r w:rsidRPr="004B4C0E">
              <w:rPr>
                <w:rFonts w:hint="eastAsia"/>
              </w:rPr>
              <w:t xml:space="preserve">(BERS)(Behavioral and Emotional Rating </w:t>
            </w:r>
            <w:r w:rsidRPr="004B4C0E">
              <w:rPr>
                <w:rFonts w:hint="eastAsia"/>
              </w:rPr>
              <w:lastRenderedPageBreak/>
              <w:t>Scale)</w:t>
            </w:r>
          </w:p>
        </w:tc>
        <w:tc>
          <w:tcPr>
            <w:tcW w:w="992" w:type="dxa"/>
          </w:tcPr>
          <w:p w:rsidR="00924709" w:rsidRPr="004B4C0E" w:rsidRDefault="00924709" w:rsidP="004C7601">
            <w:r>
              <w:rPr>
                <w:rFonts w:hint="eastAsia"/>
              </w:rPr>
              <w:lastRenderedPageBreak/>
              <w:t>6</w:t>
            </w:r>
            <w:r w:rsidRPr="004B4C0E">
              <w:rPr>
                <w:rFonts w:hint="eastAsia"/>
              </w:rPr>
              <w:t>歲至</w:t>
            </w:r>
            <w:r>
              <w:rPr>
                <w:rFonts w:hint="eastAsia"/>
              </w:rPr>
              <w:t>18</w:t>
            </w:r>
            <w:r w:rsidRPr="004B4C0E">
              <w:rPr>
                <w:rFonts w:hint="eastAsia"/>
              </w:rPr>
              <w:t>歲</w:t>
            </w:r>
          </w:p>
        </w:tc>
        <w:tc>
          <w:tcPr>
            <w:tcW w:w="5579" w:type="dxa"/>
          </w:tcPr>
          <w:p w:rsidR="00924709" w:rsidRDefault="00924709" w:rsidP="006D4D55">
            <w:pPr>
              <w:pStyle w:val="a4"/>
              <w:numPr>
                <w:ilvl w:val="0"/>
                <w:numId w:val="13"/>
              </w:numPr>
              <w:ind w:leftChars="0"/>
            </w:pPr>
            <w:r>
              <w:rPr>
                <w:rFonts w:hint="eastAsia"/>
              </w:rPr>
              <w:t>評量、診斷和了解兒童與青少年行為和情緒的優勢能力及資源。</w:t>
            </w:r>
          </w:p>
          <w:p w:rsidR="00924709" w:rsidRDefault="00924709" w:rsidP="004C7601">
            <w:pPr>
              <w:pStyle w:val="a4"/>
              <w:numPr>
                <w:ilvl w:val="0"/>
                <w:numId w:val="13"/>
              </w:numPr>
              <w:ind w:leftChars="0"/>
            </w:pPr>
            <w:r>
              <w:rPr>
                <w:rFonts w:hint="eastAsia"/>
              </w:rPr>
              <w:t>鑑定與診斷情緒障礙學生。</w:t>
            </w:r>
          </w:p>
        </w:tc>
      </w:tr>
      <w:tr w:rsidR="00924709" w:rsidTr="00924709">
        <w:tc>
          <w:tcPr>
            <w:tcW w:w="534" w:type="dxa"/>
          </w:tcPr>
          <w:p w:rsidR="00924709" w:rsidRPr="002710DE" w:rsidRDefault="00924709" w:rsidP="004C7601">
            <w:pPr>
              <w:rPr>
                <w:color w:val="FF0000"/>
              </w:rPr>
            </w:pPr>
            <w:r>
              <w:rPr>
                <w:rFonts w:hint="eastAsia"/>
                <w:color w:val="FF0000"/>
              </w:rPr>
              <w:lastRenderedPageBreak/>
              <w:t>7</w:t>
            </w:r>
          </w:p>
        </w:tc>
        <w:tc>
          <w:tcPr>
            <w:tcW w:w="1417" w:type="dxa"/>
          </w:tcPr>
          <w:p w:rsidR="00924709" w:rsidRPr="002710DE" w:rsidRDefault="00924709" w:rsidP="004C7601">
            <w:pPr>
              <w:rPr>
                <w:color w:val="FF0000"/>
              </w:rPr>
            </w:pPr>
            <w:r w:rsidRPr="002710DE">
              <w:rPr>
                <w:rFonts w:hint="eastAsia"/>
                <w:color w:val="FF0000"/>
              </w:rPr>
              <w:t>行為困擾量表</w:t>
            </w:r>
            <w:r w:rsidRPr="002710DE">
              <w:rPr>
                <w:rFonts w:hint="eastAsia"/>
                <w:color w:val="FF0000"/>
              </w:rPr>
              <w:t>-</w:t>
            </w:r>
            <w:r w:rsidRPr="002710DE">
              <w:rPr>
                <w:rFonts w:hint="eastAsia"/>
                <w:color w:val="FF0000"/>
              </w:rPr>
              <w:t>第四版</w:t>
            </w:r>
          </w:p>
        </w:tc>
        <w:tc>
          <w:tcPr>
            <w:tcW w:w="992" w:type="dxa"/>
          </w:tcPr>
          <w:p w:rsidR="00924709" w:rsidRPr="002710DE" w:rsidRDefault="00924709" w:rsidP="004C7601">
            <w:pPr>
              <w:rPr>
                <w:color w:val="FF0000"/>
              </w:rPr>
            </w:pPr>
            <w:r w:rsidRPr="002710DE">
              <w:rPr>
                <w:rFonts w:hint="eastAsia"/>
                <w:color w:val="FF0000"/>
              </w:rPr>
              <w:t>四年級至九年級</w:t>
            </w:r>
          </w:p>
        </w:tc>
        <w:tc>
          <w:tcPr>
            <w:tcW w:w="5579" w:type="dxa"/>
          </w:tcPr>
          <w:p w:rsidR="00924709" w:rsidRPr="002710DE" w:rsidRDefault="00924709" w:rsidP="004C7601">
            <w:pPr>
              <w:rPr>
                <w:color w:val="FF0000"/>
              </w:rPr>
            </w:pPr>
            <w:r w:rsidRPr="002710DE">
              <w:rPr>
                <w:rFonts w:hint="eastAsia"/>
                <w:color w:val="FF0000"/>
              </w:rPr>
              <w:t>評量學生之行為困擾，以協助輔導及補救工作推展。</w:t>
            </w:r>
          </w:p>
        </w:tc>
      </w:tr>
      <w:tr w:rsidR="00924709" w:rsidTr="0068295D">
        <w:trPr>
          <w:trHeight w:val="885"/>
        </w:trPr>
        <w:tc>
          <w:tcPr>
            <w:tcW w:w="534" w:type="dxa"/>
          </w:tcPr>
          <w:p w:rsidR="00924709" w:rsidRDefault="00924709" w:rsidP="004C7601">
            <w:pPr>
              <w:rPr>
                <w:color w:val="FF0000"/>
              </w:rPr>
            </w:pPr>
            <w:r>
              <w:rPr>
                <w:rFonts w:hint="eastAsia"/>
                <w:color w:val="FF0000"/>
              </w:rPr>
              <w:t>8</w:t>
            </w:r>
          </w:p>
        </w:tc>
        <w:tc>
          <w:tcPr>
            <w:tcW w:w="1417" w:type="dxa"/>
          </w:tcPr>
          <w:p w:rsidR="00924709" w:rsidRPr="002710DE" w:rsidRDefault="00924709" w:rsidP="004C7601">
            <w:pPr>
              <w:rPr>
                <w:color w:val="FF0000"/>
              </w:rPr>
            </w:pPr>
            <w:r>
              <w:rPr>
                <w:rFonts w:hint="eastAsia"/>
                <w:color w:val="FF0000"/>
              </w:rPr>
              <w:t>中學生情緒智能量表</w:t>
            </w:r>
          </w:p>
        </w:tc>
        <w:tc>
          <w:tcPr>
            <w:tcW w:w="992" w:type="dxa"/>
          </w:tcPr>
          <w:p w:rsidR="00924709" w:rsidRPr="002710DE" w:rsidRDefault="00924709" w:rsidP="004C7601">
            <w:pPr>
              <w:rPr>
                <w:color w:val="FF0000"/>
              </w:rPr>
            </w:pPr>
            <w:r>
              <w:rPr>
                <w:rFonts w:hint="eastAsia"/>
                <w:color w:val="FF0000"/>
              </w:rPr>
              <w:t>七年級至高三</w:t>
            </w:r>
          </w:p>
        </w:tc>
        <w:tc>
          <w:tcPr>
            <w:tcW w:w="5579" w:type="dxa"/>
          </w:tcPr>
          <w:p w:rsidR="00924709" w:rsidRPr="002710DE" w:rsidRDefault="00924709" w:rsidP="004C7601">
            <w:pPr>
              <w:rPr>
                <w:color w:val="FF0000"/>
              </w:rPr>
            </w:pPr>
            <w:r w:rsidRPr="006815C8">
              <w:rPr>
                <w:rFonts w:hint="eastAsia"/>
                <w:color w:val="FF0000"/>
              </w:rPr>
              <w:t>了解中學生之情緒智能指標，作為教師進行中學生情緒教育與輔導之參考，促進學生良好的情緒發展。</w:t>
            </w:r>
          </w:p>
        </w:tc>
      </w:tr>
      <w:tr w:rsidR="00924709" w:rsidTr="00924709">
        <w:tc>
          <w:tcPr>
            <w:tcW w:w="534" w:type="dxa"/>
          </w:tcPr>
          <w:p w:rsidR="00924709" w:rsidRPr="002710DE" w:rsidRDefault="00924709" w:rsidP="004C7601">
            <w:pPr>
              <w:rPr>
                <w:color w:val="FF0000"/>
              </w:rPr>
            </w:pPr>
            <w:r>
              <w:rPr>
                <w:rFonts w:hint="eastAsia"/>
                <w:color w:val="FF0000"/>
              </w:rPr>
              <w:t>9</w:t>
            </w:r>
          </w:p>
        </w:tc>
        <w:tc>
          <w:tcPr>
            <w:tcW w:w="1417" w:type="dxa"/>
          </w:tcPr>
          <w:p w:rsidR="00924709" w:rsidRPr="002710DE" w:rsidRDefault="00924709" w:rsidP="004C7601">
            <w:pPr>
              <w:rPr>
                <w:color w:val="FF0000"/>
              </w:rPr>
            </w:pPr>
            <w:r w:rsidRPr="002710DE">
              <w:rPr>
                <w:rFonts w:hint="eastAsia"/>
                <w:color w:val="FF0000"/>
              </w:rPr>
              <w:t>台灣版兒童青少年憂鬱量表</w:t>
            </w:r>
            <w:r w:rsidRPr="002710DE">
              <w:rPr>
                <w:rFonts w:hint="eastAsia"/>
                <w:color w:val="FF0000"/>
              </w:rPr>
              <w:t>(CDI_TW)(Children's Depression Inventory_Taiwan Version)</w:t>
            </w:r>
          </w:p>
        </w:tc>
        <w:tc>
          <w:tcPr>
            <w:tcW w:w="992" w:type="dxa"/>
          </w:tcPr>
          <w:p w:rsidR="00924709" w:rsidRPr="002710DE" w:rsidRDefault="00924709" w:rsidP="004C7601">
            <w:pPr>
              <w:rPr>
                <w:color w:val="FF0000"/>
              </w:rPr>
            </w:pPr>
            <w:r w:rsidRPr="002710DE">
              <w:rPr>
                <w:rFonts w:hint="eastAsia"/>
                <w:color w:val="FF0000"/>
              </w:rPr>
              <w:t>8</w:t>
            </w:r>
            <w:r w:rsidRPr="002710DE">
              <w:rPr>
                <w:rFonts w:hint="eastAsia"/>
                <w:color w:val="FF0000"/>
              </w:rPr>
              <w:t>至</w:t>
            </w:r>
            <w:r w:rsidRPr="002710DE">
              <w:rPr>
                <w:rFonts w:hint="eastAsia"/>
                <w:color w:val="FF0000"/>
              </w:rPr>
              <w:t>16</w:t>
            </w:r>
            <w:r w:rsidRPr="002710DE">
              <w:rPr>
                <w:rFonts w:hint="eastAsia"/>
                <w:color w:val="FF0000"/>
              </w:rPr>
              <w:t>歲</w:t>
            </w:r>
          </w:p>
        </w:tc>
        <w:tc>
          <w:tcPr>
            <w:tcW w:w="5579" w:type="dxa"/>
          </w:tcPr>
          <w:p w:rsidR="00924709" w:rsidRPr="006D4D55" w:rsidRDefault="00924709" w:rsidP="006D4D55">
            <w:pPr>
              <w:pStyle w:val="a4"/>
              <w:numPr>
                <w:ilvl w:val="0"/>
                <w:numId w:val="14"/>
              </w:numPr>
              <w:ind w:leftChars="0"/>
              <w:rPr>
                <w:color w:val="FF0000"/>
              </w:rPr>
            </w:pPr>
            <w:r w:rsidRPr="006D4D55">
              <w:rPr>
                <w:rFonts w:hint="eastAsia"/>
                <w:color w:val="FF0000"/>
              </w:rPr>
              <w:t>快速有效的評估兒童與青少年的憂鬱傾向。</w:t>
            </w:r>
          </w:p>
          <w:p w:rsidR="00924709" w:rsidRDefault="00924709" w:rsidP="004C7601">
            <w:pPr>
              <w:pStyle w:val="a4"/>
              <w:numPr>
                <w:ilvl w:val="0"/>
                <w:numId w:val="14"/>
              </w:numPr>
              <w:ind w:leftChars="0"/>
              <w:rPr>
                <w:color w:val="FF0000"/>
              </w:rPr>
            </w:pPr>
            <w:r w:rsidRPr="006D4D55">
              <w:rPr>
                <w:rFonts w:hint="eastAsia"/>
                <w:color w:val="FF0000"/>
              </w:rPr>
              <w:t>作為憂鬱嚴重程度的評量指標，提供臨床與輔導實務工作之需。</w:t>
            </w:r>
          </w:p>
          <w:p w:rsidR="00924709" w:rsidRPr="006D4D55" w:rsidRDefault="00924709" w:rsidP="004C7601">
            <w:pPr>
              <w:pStyle w:val="a4"/>
              <w:numPr>
                <w:ilvl w:val="0"/>
                <w:numId w:val="14"/>
              </w:numPr>
              <w:ind w:leftChars="0"/>
              <w:rPr>
                <w:color w:val="FF0000"/>
              </w:rPr>
            </w:pPr>
            <w:r w:rsidRPr="006D4D55">
              <w:rPr>
                <w:rFonts w:hint="eastAsia"/>
                <w:color w:val="FF0000"/>
              </w:rPr>
              <w:t>評量憂鬱變化，提供矯治方案的重要評估訊息。</w:t>
            </w:r>
          </w:p>
        </w:tc>
      </w:tr>
      <w:tr w:rsidR="00924709" w:rsidTr="00924709">
        <w:tc>
          <w:tcPr>
            <w:tcW w:w="534" w:type="dxa"/>
          </w:tcPr>
          <w:p w:rsidR="00924709" w:rsidRPr="002710DE" w:rsidRDefault="00924709" w:rsidP="004C7601">
            <w:pPr>
              <w:rPr>
                <w:color w:val="FF0000"/>
              </w:rPr>
            </w:pPr>
            <w:r>
              <w:rPr>
                <w:rFonts w:hint="eastAsia"/>
                <w:color w:val="FF0000"/>
              </w:rPr>
              <w:t>10</w:t>
            </w:r>
          </w:p>
        </w:tc>
        <w:tc>
          <w:tcPr>
            <w:tcW w:w="1417" w:type="dxa"/>
          </w:tcPr>
          <w:p w:rsidR="00924709" w:rsidRPr="002710DE" w:rsidRDefault="00924709" w:rsidP="004C7601">
            <w:pPr>
              <w:rPr>
                <w:color w:val="FF0000"/>
              </w:rPr>
            </w:pPr>
            <w:r w:rsidRPr="002710DE">
              <w:rPr>
                <w:rFonts w:hint="eastAsia"/>
                <w:color w:val="FF0000"/>
              </w:rPr>
              <w:t>台灣版多向度兒童青少年焦慮量表</w:t>
            </w:r>
            <w:r w:rsidRPr="002710DE">
              <w:rPr>
                <w:rFonts w:hint="eastAsia"/>
                <w:color w:val="FF0000"/>
              </w:rPr>
              <w:t>(MASC-TV)</w:t>
            </w:r>
            <w:r w:rsidRPr="002710DE">
              <w:rPr>
                <w:rFonts w:hint="eastAsia"/>
                <w:color w:val="FF0000"/>
              </w:rPr>
              <w:t>（</w:t>
            </w:r>
            <w:r w:rsidRPr="002710DE">
              <w:rPr>
                <w:rFonts w:hint="eastAsia"/>
                <w:color w:val="FF0000"/>
              </w:rPr>
              <w:t>Multidimensional Anxiety Scale for children</w:t>
            </w:r>
            <w:r w:rsidRPr="002710DE">
              <w:rPr>
                <w:rFonts w:hint="eastAsia"/>
                <w:color w:val="FF0000"/>
              </w:rPr>
              <w:t>）</w:t>
            </w:r>
          </w:p>
        </w:tc>
        <w:tc>
          <w:tcPr>
            <w:tcW w:w="992" w:type="dxa"/>
          </w:tcPr>
          <w:p w:rsidR="00924709" w:rsidRPr="002710DE" w:rsidRDefault="00924709" w:rsidP="004C7601">
            <w:pPr>
              <w:rPr>
                <w:color w:val="FF0000"/>
              </w:rPr>
            </w:pPr>
            <w:r w:rsidRPr="002710DE">
              <w:rPr>
                <w:rFonts w:hint="eastAsia"/>
                <w:color w:val="FF0000"/>
              </w:rPr>
              <w:t>8</w:t>
            </w:r>
            <w:r w:rsidRPr="002710DE">
              <w:rPr>
                <w:rFonts w:hint="eastAsia"/>
                <w:color w:val="FF0000"/>
              </w:rPr>
              <w:t>至</w:t>
            </w:r>
            <w:r w:rsidRPr="002710DE">
              <w:rPr>
                <w:rFonts w:hint="eastAsia"/>
                <w:color w:val="FF0000"/>
              </w:rPr>
              <w:t>1</w:t>
            </w:r>
            <w:r>
              <w:rPr>
                <w:rFonts w:hint="eastAsia"/>
                <w:color w:val="FF0000"/>
              </w:rPr>
              <w:t>9</w:t>
            </w:r>
            <w:r w:rsidRPr="002710DE">
              <w:rPr>
                <w:rFonts w:hint="eastAsia"/>
                <w:color w:val="FF0000"/>
              </w:rPr>
              <w:t>歲</w:t>
            </w:r>
          </w:p>
        </w:tc>
        <w:tc>
          <w:tcPr>
            <w:tcW w:w="5579" w:type="dxa"/>
          </w:tcPr>
          <w:p w:rsidR="00924709" w:rsidRPr="006D4D55" w:rsidRDefault="00924709" w:rsidP="006D4D55">
            <w:pPr>
              <w:pStyle w:val="a4"/>
              <w:numPr>
                <w:ilvl w:val="0"/>
                <w:numId w:val="15"/>
              </w:numPr>
              <w:ind w:leftChars="0"/>
              <w:rPr>
                <w:color w:val="FF0000"/>
              </w:rPr>
            </w:pPr>
            <w:r w:rsidRPr="006D4D55">
              <w:rPr>
                <w:rFonts w:hint="eastAsia"/>
                <w:color w:val="FF0000"/>
              </w:rPr>
              <w:t>有效評估臨床上各個重要的焦慮症狀。</w:t>
            </w:r>
          </w:p>
          <w:p w:rsidR="00924709" w:rsidRPr="006D4D55" w:rsidRDefault="00924709" w:rsidP="006D4D55">
            <w:pPr>
              <w:pStyle w:val="a4"/>
              <w:numPr>
                <w:ilvl w:val="0"/>
                <w:numId w:val="15"/>
              </w:numPr>
              <w:ind w:leftChars="0"/>
              <w:rPr>
                <w:color w:val="FF0000"/>
              </w:rPr>
            </w:pPr>
            <w:r w:rsidRPr="006D4D55">
              <w:rPr>
                <w:rFonts w:hint="eastAsia"/>
                <w:color w:val="FF0000"/>
              </w:rPr>
              <w:t>可敏感地偵測出治療前後焦慮症狀的細微變化。</w:t>
            </w:r>
          </w:p>
        </w:tc>
      </w:tr>
      <w:tr w:rsidR="00924709" w:rsidTr="00924709">
        <w:tc>
          <w:tcPr>
            <w:tcW w:w="534" w:type="dxa"/>
          </w:tcPr>
          <w:p w:rsidR="00924709" w:rsidRPr="00837DF1" w:rsidRDefault="00924709" w:rsidP="004C7601">
            <w:r>
              <w:rPr>
                <w:rFonts w:hint="eastAsia"/>
              </w:rPr>
              <w:t>11</w:t>
            </w:r>
          </w:p>
        </w:tc>
        <w:tc>
          <w:tcPr>
            <w:tcW w:w="1417" w:type="dxa"/>
          </w:tcPr>
          <w:p w:rsidR="00924709" w:rsidRDefault="00924709" w:rsidP="004C7601">
            <w:r w:rsidRPr="00837DF1">
              <w:rPr>
                <w:rFonts w:hint="eastAsia"/>
              </w:rPr>
              <w:t>青少年心理健康量表—篩選性評估</w:t>
            </w:r>
            <w:r w:rsidRPr="00837DF1">
              <w:rPr>
                <w:rFonts w:hint="eastAsia"/>
              </w:rPr>
              <w:t>(MHSA-SA)(Mental Health Scale for Adolescent-Screening Assessment)</w:t>
            </w:r>
          </w:p>
        </w:tc>
        <w:tc>
          <w:tcPr>
            <w:tcW w:w="992" w:type="dxa"/>
          </w:tcPr>
          <w:p w:rsidR="00924709" w:rsidRPr="00837DF1" w:rsidRDefault="00924709" w:rsidP="004C7601">
            <w:r w:rsidRPr="004B4C0E">
              <w:rPr>
                <w:rFonts w:hint="eastAsia"/>
              </w:rPr>
              <w:t>國中至高中職</w:t>
            </w:r>
          </w:p>
        </w:tc>
        <w:tc>
          <w:tcPr>
            <w:tcW w:w="5579" w:type="dxa"/>
          </w:tcPr>
          <w:p w:rsidR="00924709" w:rsidRDefault="00924709" w:rsidP="004C7601">
            <w:r>
              <w:rPr>
                <w:rFonts w:hint="eastAsia"/>
              </w:rPr>
              <w:t>檢測青少年潛在困擾特質的類型與強度，以篩選出需要高關懷的對象，預防青少年偏差行為產生。更可作為新生入學或大量施測之用，幫助教師主動掌握學生的心理健康狀態。</w:t>
            </w:r>
          </w:p>
        </w:tc>
      </w:tr>
      <w:tr w:rsidR="00924709" w:rsidTr="00924709">
        <w:tc>
          <w:tcPr>
            <w:tcW w:w="534" w:type="dxa"/>
          </w:tcPr>
          <w:p w:rsidR="00924709" w:rsidRPr="002710DE" w:rsidRDefault="00924709" w:rsidP="004C7601">
            <w:r>
              <w:rPr>
                <w:rFonts w:hint="eastAsia"/>
              </w:rPr>
              <w:t>12</w:t>
            </w:r>
          </w:p>
        </w:tc>
        <w:tc>
          <w:tcPr>
            <w:tcW w:w="1417" w:type="dxa"/>
          </w:tcPr>
          <w:p w:rsidR="00924709" w:rsidRPr="00837DF1" w:rsidRDefault="00924709" w:rsidP="004C7601">
            <w:r w:rsidRPr="002710DE">
              <w:rPr>
                <w:rFonts w:hint="eastAsia"/>
              </w:rPr>
              <w:t>青少年身心健康量表</w:t>
            </w:r>
            <w:r w:rsidRPr="002710DE">
              <w:rPr>
                <w:rFonts w:hint="eastAsia"/>
              </w:rPr>
              <w:lastRenderedPageBreak/>
              <w:t>(MHIA)(Mental Health Invertory for Adolescents)</w:t>
            </w:r>
          </w:p>
        </w:tc>
        <w:tc>
          <w:tcPr>
            <w:tcW w:w="992" w:type="dxa"/>
          </w:tcPr>
          <w:p w:rsidR="00924709" w:rsidRPr="004B4C0E" w:rsidRDefault="00924709" w:rsidP="004C7601">
            <w:r w:rsidRPr="002710DE">
              <w:rPr>
                <w:rFonts w:hint="eastAsia"/>
              </w:rPr>
              <w:lastRenderedPageBreak/>
              <w:t>12</w:t>
            </w:r>
            <w:r w:rsidRPr="002710DE">
              <w:rPr>
                <w:rFonts w:hint="eastAsia"/>
              </w:rPr>
              <w:t>至</w:t>
            </w:r>
            <w:r w:rsidRPr="002710DE">
              <w:rPr>
                <w:rFonts w:hint="eastAsia"/>
              </w:rPr>
              <w:t>20</w:t>
            </w:r>
            <w:r w:rsidRPr="002710DE">
              <w:rPr>
                <w:rFonts w:hint="eastAsia"/>
              </w:rPr>
              <w:t>歲</w:t>
            </w:r>
          </w:p>
        </w:tc>
        <w:tc>
          <w:tcPr>
            <w:tcW w:w="5579" w:type="dxa"/>
          </w:tcPr>
          <w:p w:rsidR="00924709" w:rsidRDefault="00924709" w:rsidP="004C7601">
            <w:r w:rsidRPr="002710DE">
              <w:rPr>
                <w:rFonts w:hint="eastAsia"/>
              </w:rPr>
              <w:t>評量青少年的身心健康，作為篩選需要關懷之青少年的參考。</w:t>
            </w:r>
          </w:p>
        </w:tc>
      </w:tr>
    </w:tbl>
    <w:p w:rsidR="004B4C0E" w:rsidRDefault="004B4C0E" w:rsidP="004C7601"/>
    <w:p w:rsidR="004760D0" w:rsidRPr="0068295D" w:rsidRDefault="004760D0" w:rsidP="004C7601">
      <w:pPr>
        <w:rPr>
          <w:b/>
        </w:rPr>
      </w:pPr>
      <w:r w:rsidRPr="0068295D">
        <w:rPr>
          <w:rFonts w:hint="eastAsia"/>
          <w:b/>
        </w:rPr>
        <w:t>中國行為科學社</w:t>
      </w:r>
    </w:p>
    <w:tbl>
      <w:tblPr>
        <w:tblStyle w:val="a3"/>
        <w:tblW w:w="0" w:type="auto"/>
        <w:tblLook w:val="04A0"/>
      </w:tblPr>
      <w:tblGrid>
        <w:gridCol w:w="534"/>
        <w:gridCol w:w="1417"/>
        <w:gridCol w:w="992"/>
        <w:gridCol w:w="5579"/>
      </w:tblGrid>
      <w:tr w:rsidR="00924709" w:rsidRPr="0068295D" w:rsidTr="00924709">
        <w:tc>
          <w:tcPr>
            <w:tcW w:w="534" w:type="dxa"/>
          </w:tcPr>
          <w:p w:rsidR="00924709" w:rsidRPr="0068295D" w:rsidRDefault="00924709" w:rsidP="004C7601">
            <w:r w:rsidRPr="0068295D">
              <w:rPr>
                <w:rFonts w:hint="eastAsia"/>
              </w:rPr>
              <w:t>序號</w:t>
            </w:r>
          </w:p>
        </w:tc>
        <w:tc>
          <w:tcPr>
            <w:tcW w:w="1417" w:type="dxa"/>
          </w:tcPr>
          <w:p w:rsidR="00924709" w:rsidRPr="0068295D" w:rsidRDefault="00924709" w:rsidP="004C7601">
            <w:r w:rsidRPr="0068295D">
              <w:rPr>
                <w:rFonts w:hint="eastAsia"/>
              </w:rPr>
              <w:t>測驗名稱</w:t>
            </w:r>
          </w:p>
        </w:tc>
        <w:tc>
          <w:tcPr>
            <w:tcW w:w="992" w:type="dxa"/>
          </w:tcPr>
          <w:p w:rsidR="00924709" w:rsidRPr="0068295D" w:rsidRDefault="00924709" w:rsidP="004C7601">
            <w:r w:rsidRPr="0068295D">
              <w:rPr>
                <w:rFonts w:hint="eastAsia"/>
              </w:rPr>
              <w:t>適用對象</w:t>
            </w:r>
          </w:p>
        </w:tc>
        <w:tc>
          <w:tcPr>
            <w:tcW w:w="5579" w:type="dxa"/>
          </w:tcPr>
          <w:p w:rsidR="00924709" w:rsidRPr="0068295D" w:rsidRDefault="00924709" w:rsidP="004C7601">
            <w:r w:rsidRPr="0068295D">
              <w:rPr>
                <w:rFonts w:hint="eastAsia"/>
              </w:rPr>
              <w:t>測驗功能說明</w:t>
            </w:r>
          </w:p>
        </w:tc>
      </w:tr>
      <w:tr w:rsidR="00924709" w:rsidRPr="0068295D" w:rsidTr="0068295D">
        <w:trPr>
          <w:trHeight w:val="2309"/>
        </w:trPr>
        <w:tc>
          <w:tcPr>
            <w:tcW w:w="534" w:type="dxa"/>
          </w:tcPr>
          <w:p w:rsidR="00924709" w:rsidRPr="0068295D" w:rsidRDefault="00924709" w:rsidP="004C7601">
            <w:pPr>
              <w:rPr>
                <w:rFonts w:asciiTheme="minorEastAsia" w:eastAsiaTheme="minorEastAsia" w:hAnsiTheme="minorEastAsia"/>
                <w:bCs/>
                <w:shd w:val="clear" w:color="auto" w:fill="FFFFFF"/>
              </w:rPr>
            </w:pPr>
            <w:r w:rsidRPr="0068295D">
              <w:rPr>
                <w:rFonts w:asciiTheme="minorEastAsia" w:eastAsiaTheme="minorEastAsia" w:hAnsiTheme="minorEastAsia" w:hint="eastAsia"/>
                <w:bCs/>
                <w:shd w:val="clear" w:color="auto" w:fill="FFFFFF"/>
              </w:rPr>
              <w:t>1</w:t>
            </w:r>
          </w:p>
        </w:tc>
        <w:tc>
          <w:tcPr>
            <w:tcW w:w="1417" w:type="dxa"/>
          </w:tcPr>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bCs/>
                <w:shd w:val="clear" w:color="auto" w:fill="FFFFFF"/>
              </w:rPr>
              <w:t>貝克兒童及青少年量表(BYIⅡ)</w:t>
            </w:r>
          </w:p>
        </w:tc>
        <w:tc>
          <w:tcPr>
            <w:tcW w:w="992" w:type="dxa"/>
          </w:tcPr>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shd w:val="clear" w:color="auto" w:fill="FFFFFF"/>
              </w:rPr>
              <w:t>小一~高三(7~18歲)</w:t>
            </w:r>
          </w:p>
        </w:tc>
        <w:tc>
          <w:tcPr>
            <w:tcW w:w="5579" w:type="dxa"/>
          </w:tcPr>
          <w:p w:rsidR="00924709" w:rsidRPr="0068295D" w:rsidRDefault="00924709" w:rsidP="006D4D55">
            <w:pPr>
              <w:pStyle w:val="a4"/>
              <w:numPr>
                <w:ilvl w:val="0"/>
                <w:numId w:val="19"/>
              </w:numPr>
              <w:ind w:leftChars="0"/>
            </w:pPr>
            <w:r w:rsidRPr="0068295D">
              <w:rPr>
                <w:rFonts w:hint="eastAsia"/>
              </w:rPr>
              <w:t>可個別或合併使用來評估兒童及青少年的自我概念、焦慮、憂鬱、憤怒及違規行為的經驗。</w:t>
            </w:r>
          </w:p>
          <w:p w:rsidR="00924709" w:rsidRPr="0068295D" w:rsidRDefault="00924709" w:rsidP="006D4D55">
            <w:pPr>
              <w:pStyle w:val="a4"/>
              <w:numPr>
                <w:ilvl w:val="0"/>
                <w:numId w:val="19"/>
              </w:numPr>
              <w:ind w:leftChars="0"/>
            </w:pPr>
            <w:r w:rsidRPr="0068295D">
              <w:rPr>
                <w:rFonts w:hint="eastAsia"/>
              </w:rPr>
              <w:t>可快速診斷兒童或青少年情緒及社交損害之工具。</w:t>
            </w:r>
          </w:p>
          <w:p w:rsidR="00924709" w:rsidRPr="0068295D" w:rsidRDefault="00924709" w:rsidP="006D4D55">
            <w:pPr>
              <w:pStyle w:val="a4"/>
              <w:numPr>
                <w:ilvl w:val="0"/>
                <w:numId w:val="19"/>
              </w:numPr>
              <w:ind w:leftChars="0"/>
            </w:pPr>
            <w:r w:rsidRPr="0068295D">
              <w:rPr>
                <w:rFonts w:hint="eastAsia"/>
              </w:rPr>
              <w:t>提供</w:t>
            </w:r>
            <w:r w:rsidRPr="0068295D">
              <w:rPr>
                <w:rFonts w:hint="eastAsia"/>
              </w:rPr>
              <w:t>T</w:t>
            </w:r>
            <w:r w:rsidRPr="0068295D">
              <w:rPr>
                <w:rFonts w:hint="eastAsia"/>
              </w:rPr>
              <w:t>分數剖面圖，將憂鬱、焦慮及憤怒如何形成兒童或青少年憂鬱的歷程具體化。</w:t>
            </w:r>
          </w:p>
        </w:tc>
      </w:tr>
      <w:tr w:rsidR="00924709" w:rsidRPr="0068295D" w:rsidTr="00924709">
        <w:tc>
          <w:tcPr>
            <w:tcW w:w="534" w:type="dxa"/>
          </w:tcPr>
          <w:p w:rsidR="00924709" w:rsidRPr="0068295D" w:rsidRDefault="00924709" w:rsidP="004C7601">
            <w:pPr>
              <w:rPr>
                <w:rFonts w:asciiTheme="minorEastAsia" w:eastAsiaTheme="minorEastAsia" w:hAnsiTheme="minorEastAsia"/>
                <w:bCs/>
                <w:shd w:val="clear" w:color="auto" w:fill="FFFFFF"/>
              </w:rPr>
            </w:pPr>
            <w:r w:rsidRPr="0068295D">
              <w:rPr>
                <w:rFonts w:asciiTheme="minorEastAsia" w:eastAsiaTheme="minorEastAsia" w:hAnsiTheme="minorEastAsia" w:hint="eastAsia"/>
                <w:bCs/>
                <w:shd w:val="clear" w:color="auto" w:fill="FFFFFF"/>
              </w:rPr>
              <w:t>2</w:t>
            </w:r>
          </w:p>
        </w:tc>
        <w:tc>
          <w:tcPr>
            <w:tcW w:w="1417" w:type="dxa"/>
          </w:tcPr>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bCs/>
                <w:shd w:val="clear" w:color="auto" w:fill="FFFFFF"/>
              </w:rPr>
              <w:t>行為困擾調查表</w:t>
            </w:r>
            <w:r w:rsidRPr="0068295D">
              <w:rPr>
                <w:rStyle w:val="apple-converted-space"/>
                <w:rFonts w:asciiTheme="minorEastAsia" w:eastAsiaTheme="minorEastAsia" w:hAnsiTheme="minorEastAsia" w:hint="eastAsia"/>
                <w:bCs/>
                <w:shd w:val="clear" w:color="auto" w:fill="FFFFFF"/>
              </w:rPr>
              <w:t> </w:t>
            </w:r>
            <w:r w:rsidRPr="0068295D">
              <w:rPr>
                <w:rFonts w:asciiTheme="minorEastAsia" w:eastAsiaTheme="minorEastAsia" w:hAnsiTheme="minorEastAsia" w:hint="eastAsia"/>
                <w:bCs/>
                <w:shd w:val="clear" w:color="auto" w:fill="FFFFFF"/>
              </w:rPr>
              <w:t>國中、高中(職)、大專</w:t>
            </w:r>
          </w:p>
        </w:tc>
        <w:tc>
          <w:tcPr>
            <w:tcW w:w="992" w:type="dxa"/>
          </w:tcPr>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shd w:val="clear" w:color="auto" w:fill="FFFFFF"/>
              </w:rPr>
              <w:t>國中七年級、高中職及大專生</w:t>
            </w:r>
          </w:p>
        </w:tc>
        <w:tc>
          <w:tcPr>
            <w:tcW w:w="5579" w:type="dxa"/>
          </w:tcPr>
          <w:p w:rsidR="00924709" w:rsidRPr="0068295D" w:rsidRDefault="00924709" w:rsidP="006D4D55">
            <w:pPr>
              <w:pStyle w:val="a4"/>
              <w:numPr>
                <w:ilvl w:val="0"/>
                <w:numId w:val="20"/>
              </w:numPr>
              <w:ind w:leftChars="0"/>
              <w:rPr>
                <w:rFonts w:asciiTheme="minorEastAsia" w:eastAsiaTheme="minorEastAsia" w:hAnsiTheme="minorEastAsia" w:cs="新細明體"/>
                <w:kern w:val="0"/>
              </w:rPr>
            </w:pPr>
            <w:r w:rsidRPr="0068295D">
              <w:rPr>
                <w:rFonts w:asciiTheme="minorEastAsia" w:eastAsiaTheme="minorEastAsia" w:hAnsiTheme="minorEastAsia" w:cs="新細明體" w:hint="eastAsia"/>
                <w:kern w:val="0"/>
              </w:rPr>
              <w:t>協助諮商會談，並作為個別輔導之準備。</w:t>
            </w:r>
          </w:p>
          <w:p w:rsidR="00924709" w:rsidRPr="0068295D" w:rsidRDefault="00924709" w:rsidP="006D4D55">
            <w:pPr>
              <w:pStyle w:val="a4"/>
              <w:numPr>
                <w:ilvl w:val="0"/>
                <w:numId w:val="20"/>
              </w:numPr>
              <w:ind w:leftChars="0"/>
            </w:pPr>
            <w:r w:rsidRPr="0068295D">
              <w:rPr>
                <w:rFonts w:asciiTheme="minorEastAsia" w:eastAsiaTheme="minorEastAsia" w:hAnsiTheme="minorEastAsia" w:cs="新細明體" w:hint="eastAsia"/>
                <w:kern w:val="0"/>
              </w:rPr>
              <w:t>作為課室、團體輔導及「新生訓練計劃」之參考。</w:t>
            </w:r>
          </w:p>
          <w:p w:rsidR="00924709" w:rsidRPr="0068295D" w:rsidRDefault="00924709" w:rsidP="006D4D55">
            <w:pPr>
              <w:pStyle w:val="a4"/>
              <w:numPr>
                <w:ilvl w:val="0"/>
                <w:numId w:val="20"/>
              </w:numPr>
              <w:ind w:leftChars="0"/>
            </w:pPr>
            <w:r w:rsidRPr="0068295D">
              <w:rPr>
                <w:rFonts w:asciiTheme="minorEastAsia" w:eastAsiaTheme="minorEastAsia" w:hAnsiTheme="minorEastAsia" w:cs="新細明體" w:hint="eastAsia"/>
                <w:kern w:val="0"/>
              </w:rPr>
              <w:t>處理和研究青少年問題。</w:t>
            </w:r>
          </w:p>
        </w:tc>
      </w:tr>
      <w:tr w:rsidR="00924709" w:rsidRPr="0068295D" w:rsidTr="0068295D">
        <w:trPr>
          <w:trHeight w:val="3007"/>
        </w:trPr>
        <w:tc>
          <w:tcPr>
            <w:tcW w:w="534" w:type="dxa"/>
          </w:tcPr>
          <w:p w:rsidR="00924709" w:rsidRPr="0068295D" w:rsidRDefault="00924709" w:rsidP="004C7601">
            <w:pPr>
              <w:rPr>
                <w:rFonts w:asciiTheme="minorEastAsia" w:eastAsiaTheme="minorEastAsia" w:hAnsiTheme="minorEastAsia"/>
                <w:bCs/>
                <w:shd w:val="clear" w:color="auto" w:fill="FFFFFF"/>
              </w:rPr>
            </w:pPr>
            <w:r w:rsidRPr="0068295D">
              <w:rPr>
                <w:rFonts w:asciiTheme="minorEastAsia" w:eastAsiaTheme="minorEastAsia" w:hAnsiTheme="minorEastAsia" w:hint="eastAsia"/>
                <w:bCs/>
                <w:shd w:val="clear" w:color="auto" w:fill="FFFFFF"/>
              </w:rPr>
              <w:t>3</w:t>
            </w:r>
          </w:p>
        </w:tc>
        <w:tc>
          <w:tcPr>
            <w:tcW w:w="1417" w:type="dxa"/>
          </w:tcPr>
          <w:p w:rsidR="00924709" w:rsidRPr="0068295D" w:rsidRDefault="00924709" w:rsidP="004C7601">
            <w:pPr>
              <w:rPr>
                <w:rFonts w:asciiTheme="minorEastAsia" w:eastAsiaTheme="minorEastAsia" w:hAnsiTheme="minorEastAsia"/>
                <w:bCs/>
                <w:shd w:val="clear" w:color="auto" w:fill="FFFFFF"/>
              </w:rPr>
            </w:pPr>
            <w:r w:rsidRPr="0068295D">
              <w:rPr>
                <w:rFonts w:asciiTheme="minorEastAsia" w:eastAsiaTheme="minorEastAsia" w:hAnsiTheme="minorEastAsia" w:hint="eastAsia"/>
                <w:bCs/>
                <w:shd w:val="clear" w:color="auto" w:fill="FFFFFF"/>
              </w:rPr>
              <w:t>學校日常生活功能量表(SFA)</w:t>
            </w:r>
          </w:p>
        </w:tc>
        <w:tc>
          <w:tcPr>
            <w:tcW w:w="992" w:type="dxa"/>
          </w:tcPr>
          <w:p w:rsidR="00924709" w:rsidRPr="0068295D" w:rsidRDefault="00924709" w:rsidP="004C7601">
            <w:pPr>
              <w:rPr>
                <w:rFonts w:asciiTheme="minorEastAsia" w:eastAsiaTheme="minorEastAsia" w:hAnsiTheme="minorEastAsia"/>
                <w:shd w:val="clear" w:color="auto" w:fill="FFFFFF"/>
              </w:rPr>
            </w:pPr>
            <w:r w:rsidRPr="0068295D">
              <w:rPr>
                <w:rFonts w:asciiTheme="minorEastAsia" w:eastAsiaTheme="minorEastAsia" w:hAnsiTheme="minorEastAsia" w:hint="eastAsia"/>
                <w:shd w:val="clear" w:color="auto" w:fill="FFFFFF"/>
              </w:rPr>
              <w:t>小一~小六</w:t>
            </w:r>
          </w:p>
        </w:tc>
        <w:tc>
          <w:tcPr>
            <w:tcW w:w="5579" w:type="dxa"/>
          </w:tcPr>
          <w:p w:rsidR="00924709" w:rsidRPr="0068295D" w:rsidRDefault="00924709" w:rsidP="006D4D55">
            <w:pPr>
              <w:pStyle w:val="a4"/>
              <w:numPr>
                <w:ilvl w:val="0"/>
                <w:numId w:val="21"/>
              </w:numPr>
              <w:ind w:leftChars="0"/>
              <w:rPr>
                <w:rFonts w:asciiTheme="minorEastAsia" w:eastAsiaTheme="minorEastAsia" w:hAnsiTheme="minorEastAsia"/>
              </w:rPr>
            </w:pPr>
            <w:r w:rsidRPr="0068295D">
              <w:rPr>
                <w:rFonts w:asciiTheme="minorEastAsia" w:eastAsiaTheme="minorEastAsia" w:hAnsiTheme="minorEastAsia" w:hint="eastAsia"/>
              </w:rPr>
              <w:t>用以評估小學生在學校生活作息的能力。</w:t>
            </w:r>
          </w:p>
          <w:p w:rsidR="00924709" w:rsidRPr="0068295D" w:rsidRDefault="00924709" w:rsidP="006D4D55">
            <w:pPr>
              <w:pStyle w:val="a4"/>
              <w:numPr>
                <w:ilvl w:val="0"/>
                <w:numId w:val="21"/>
              </w:numPr>
              <w:ind w:leftChars="0"/>
            </w:pPr>
            <w:r w:rsidRPr="0068295D">
              <w:rPr>
                <w:rFonts w:asciiTheme="minorEastAsia" w:eastAsiaTheme="minorEastAsia" w:hAnsiTheme="minorEastAsia" w:hint="eastAsia"/>
              </w:rPr>
              <w:t>協助專業人員有系統性及廣泛性的檢視身心障礙學童在校的需求，鑑定他們各項學校生活功能及技巧上的缺失。</w:t>
            </w:r>
          </w:p>
          <w:p w:rsidR="00924709" w:rsidRPr="0068295D" w:rsidRDefault="00924709" w:rsidP="006D4D55">
            <w:pPr>
              <w:pStyle w:val="a4"/>
              <w:numPr>
                <w:ilvl w:val="0"/>
                <w:numId w:val="21"/>
              </w:numPr>
              <w:ind w:leftChars="0"/>
            </w:pPr>
            <w:r w:rsidRPr="0068295D">
              <w:rPr>
                <w:rFonts w:asciiTheme="minorEastAsia" w:eastAsiaTheme="minorEastAsia" w:hAnsiTheme="minorEastAsia" w:hint="eastAsia"/>
              </w:rPr>
              <w:t>有效利用優點及強項來克服其他方面的障礙。</w:t>
            </w:r>
          </w:p>
          <w:p w:rsidR="00924709" w:rsidRPr="0068295D" w:rsidRDefault="00924709" w:rsidP="006D4D55">
            <w:pPr>
              <w:pStyle w:val="a4"/>
              <w:numPr>
                <w:ilvl w:val="0"/>
                <w:numId w:val="20"/>
              </w:numPr>
              <w:ind w:leftChars="0"/>
            </w:pPr>
            <w:r w:rsidRPr="0068295D">
              <w:rPr>
                <w:rFonts w:asciiTheme="minorEastAsia" w:eastAsiaTheme="minorEastAsia" w:hAnsiTheme="minorEastAsia" w:cs="新細明體" w:hint="eastAsia"/>
                <w:kern w:val="0"/>
              </w:rPr>
              <w:t>可協助受試者瞭解自己生活適應之能力及適應問題。</w:t>
            </w:r>
          </w:p>
          <w:p w:rsidR="00924709" w:rsidRPr="0068295D" w:rsidRDefault="00924709" w:rsidP="006D4D55">
            <w:pPr>
              <w:pStyle w:val="a4"/>
              <w:numPr>
                <w:ilvl w:val="0"/>
                <w:numId w:val="20"/>
              </w:numPr>
              <w:ind w:leftChars="0"/>
            </w:pPr>
            <w:r w:rsidRPr="0068295D">
              <w:rPr>
                <w:rFonts w:asciiTheme="minorEastAsia" w:eastAsiaTheme="minorEastAsia" w:hAnsiTheme="minorEastAsia" w:cs="新細明體" w:hint="eastAsia"/>
                <w:kern w:val="0"/>
              </w:rPr>
              <w:t>可作為輔導諮商之參考。</w:t>
            </w:r>
          </w:p>
        </w:tc>
      </w:tr>
      <w:tr w:rsidR="00924709" w:rsidRPr="0068295D" w:rsidTr="0068295D">
        <w:trPr>
          <w:trHeight w:val="1121"/>
        </w:trPr>
        <w:tc>
          <w:tcPr>
            <w:tcW w:w="534" w:type="dxa"/>
          </w:tcPr>
          <w:p w:rsidR="00924709" w:rsidRPr="0068295D" w:rsidRDefault="00924709" w:rsidP="004C7601">
            <w:pPr>
              <w:rPr>
                <w:rFonts w:asciiTheme="minorEastAsia" w:eastAsiaTheme="minorEastAsia" w:hAnsiTheme="minorEastAsia"/>
                <w:bCs/>
                <w:shd w:val="clear" w:color="auto" w:fill="FFFFFF"/>
              </w:rPr>
            </w:pPr>
            <w:r w:rsidRPr="0068295D">
              <w:rPr>
                <w:rFonts w:asciiTheme="minorEastAsia" w:eastAsiaTheme="minorEastAsia" w:hAnsiTheme="minorEastAsia" w:hint="eastAsia"/>
                <w:bCs/>
                <w:shd w:val="clear" w:color="auto" w:fill="FFFFFF"/>
              </w:rPr>
              <w:t>4</w:t>
            </w:r>
          </w:p>
        </w:tc>
        <w:tc>
          <w:tcPr>
            <w:tcW w:w="1417" w:type="dxa"/>
          </w:tcPr>
          <w:p w:rsidR="00924709" w:rsidRPr="0068295D" w:rsidRDefault="00924709" w:rsidP="004C7601">
            <w:pPr>
              <w:rPr>
                <w:rFonts w:asciiTheme="minorEastAsia" w:eastAsiaTheme="minorEastAsia" w:hAnsiTheme="minorEastAsia"/>
                <w:bCs/>
                <w:shd w:val="clear" w:color="auto" w:fill="FFFFFF"/>
              </w:rPr>
            </w:pPr>
            <w:r w:rsidRPr="0068295D">
              <w:rPr>
                <w:rFonts w:asciiTheme="minorEastAsia" w:eastAsiaTheme="minorEastAsia" w:hAnsiTheme="minorEastAsia" w:hint="eastAsia"/>
                <w:bCs/>
                <w:shd w:val="clear" w:color="auto" w:fill="FFFFFF"/>
              </w:rPr>
              <w:t>青少年生活適應量表</w:t>
            </w:r>
          </w:p>
        </w:tc>
        <w:tc>
          <w:tcPr>
            <w:tcW w:w="992" w:type="dxa"/>
          </w:tcPr>
          <w:p w:rsidR="00924709" w:rsidRPr="0068295D" w:rsidRDefault="00924709" w:rsidP="004C7601">
            <w:pPr>
              <w:rPr>
                <w:rFonts w:asciiTheme="minorEastAsia" w:eastAsiaTheme="minorEastAsia" w:hAnsiTheme="minorEastAsia"/>
                <w:shd w:val="clear" w:color="auto" w:fill="FFFFFF"/>
              </w:rPr>
            </w:pPr>
            <w:r w:rsidRPr="0068295D">
              <w:rPr>
                <w:rFonts w:asciiTheme="minorEastAsia" w:eastAsiaTheme="minorEastAsia" w:hAnsiTheme="minorEastAsia" w:hint="eastAsia"/>
                <w:shd w:val="clear" w:color="auto" w:fill="FFFFFF"/>
              </w:rPr>
              <w:t>16~30歲</w:t>
            </w:r>
          </w:p>
        </w:tc>
        <w:tc>
          <w:tcPr>
            <w:tcW w:w="5579" w:type="dxa"/>
          </w:tcPr>
          <w:p w:rsidR="00924709" w:rsidRPr="0068295D" w:rsidRDefault="00924709" w:rsidP="006D4D55">
            <w:pPr>
              <w:pStyle w:val="a4"/>
              <w:numPr>
                <w:ilvl w:val="0"/>
                <w:numId w:val="6"/>
              </w:numPr>
              <w:ind w:leftChars="0"/>
              <w:rPr>
                <w:rFonts w:asciiTheme="minorEastAsia" w:eastAsiaTheme="minorEastAsia" w:hAnsiTheme="minorEastAsia" w:cs="新細明體"/>
                <w:kern w:val="0"/>
              </w:rPr>
            </w:pPr>
            <w:r w:rsidRPr="0068295D">
              <w:rPr>
                <w:rFonts w:asciiTheme="minorEastAsia" w:eastAsiaTheme="minorEastAsia" w:hAnsiTheme="minorEastAsia" w:cs="新細明體" w:hint="eastAsia"/>
                <w:kern w:val="0"/>
              </w:rPr>
              <w:t>可協助受試者瞭解自己生活適應之能力及適應問題。</w:t>
            </w:r>
          </w:p>
          <w:p w:rsidR="00924709" w:rsidRPr="0068295D" w:rsidRDefault="00924709" w:rsidP="006D4D55">
            <w:pPr>
              <w:pStyle w:val="a4"/>
              <w:numPr>
                <w:ilvl w:val="0"/>
                <w:numId w:val="6"/>
              </w:numPr>
              <w:ind w:leftChars="0"/>
            </w:pPr>
            <w:r w:rsidRPr="0068295D">
              <w:rPr>
                <w:rFonts w:asciiTheme="minorEastAsia" w:eastAsiaTheme="minorEastAsia" w:hAnsiTheme="minorEastAsia" w:cs="新細明體" w:hint="eastAsia"/>
                <w:kern w:val="0"/>
              </w:rPr>
              <w:t>可作為輔導諮商之參考。</w:t>
            </w:r>
          </w:p>
        </w:tc>
      </w:tr>
      <w:tr w:rsidR="00924709" w:rsidRPr="0068295D" w:rsidTr="00924709">
        <w:tc>
          <w:tcPr>
            <w:tcW w:w="534" w:type="dxa"/>
          </w:tcPr>
          <w:p w:rsidR="00924709" w:rsidRPr="0068295D" w:rsidRDefault="00924709" w:rsidP="004C7601">
            <w:pPr>
              <w:rPr>
                <w:rFonts w:asciiTheme="minorEastAsia" w:eastAsiaTheme="minorEastAsia" w:hAnsiTheme="minorEastAsia"/>
                <w:bCs/>
                <w:shd w:val="clear" w:color="auto" w:fill="FFFFFF"/>
              </w:rPr>
            </w:pPr>
            <w:r w:rsidRPr="0068295D">
              <w:rPr>
                <w:rFonts w:asciiTheme="minorEastAsia" w:eastAsiaTheme="minorEastAsia" w:hAnsiTheme="minorEastAsia" w:hint="eastAsia"/>
                <w:bCs/>
                <w:shd w:val="clear" w:color="auto" w:fill="FFFFFF"/>
              </w:rPr>
              <w:t>5</w:t>
            </w:r>
          </w:p>
        </w:tc>
        <w:tc>
          <w:tcPr>
            <w:tcW w:w="1417" w:type="dxa"/>
          </w:tcPr>
          <w:p w:rsidR="00924709" w:rsidRPr="0068295D" w:rsidRDefault="00924709" w:rsidP="004C7601">
            <w:pPr>
              <w:rPr>
                <w:rFonts w:asciiTheme="minorEastAsia" w:eastAsiaTheme="minorEastAsia" w:hAnsiTheme="minorEastAsia"/>
                <w:bCs/>
                <w:shd w:val="clear" w:color="auto" w:fill="FFFFFF"/>
              </w:rPr>
            </w:pPr>
            <w:r w:rsidRPr="0068295D">
              <w:rPr>
                <w:rFonts w:asciiTheme="minorEastAsia" w:eastAsiaTheme="minorEastAsia" w:hAnsiTheme="minorEastAsia" w:hint="eastAsia"/>
                <w:bCs/>
                <w:shd w:val="clear" w:color="auto" w:fill="FFFFFF"/>
              </w:rPr>
              <w:t>青少年/成人感覺處理能力剖析量表</w:t>
            </w:r>
          </w:p>
        </w:tc>
        <w:tc>
          <w:tcPr>
            <w:tcW w:w="992" w:type="dxa"/>
          </w:tcPr>
          <w:p w:rsidR="00924709" w:rsidRPr="0068295D" w:rsidRDefault="00924709" w:rsidP="004C7601">
            <w:pPr>
              <w:rPr>
                <w:rFonts w:asciiTheme="minorEastAsia" w:eastAsiaTheme="minorEastAsia" w:hAnsiTheme="minorEastAsia"/>
                <w:shd w:val="clear" w:color="auto" w:fill="FFFFFF"/>
              </w:rPr>
            </w:pPr>
            <w:r w:rsidRPr="0068295D">
              <w:rPr>
                <w:rFonts w:asciiTheme="minorEastAsia" w:eastAsiaTheme="minorEastAsia" w:hAnsiTheme="minorEastAsia" w:hint="eastAsia"/>
                <w:shd w:val="clear" w:color="auto" w:fill="FFFFFF"/>
              </w:rPr>
              <w:t>11歲以上青少年及成人</w:t>
            </w:r>
          </w:p>
        </w:tc>
        <w:tc>
          <w:tcPr>
            <w:tcW w:w="5579" w:type="dxa"/>
          </w:tcPr>
          <w:p w:rsidR="00924709" w:rsidRPr="0068295D" w:rsidRDefault="00924709" w:rsidP="004C7601">
            <w:pPr>
              <w:pStyle w:val="a4"/>
              <w:widowControl/>
              <w:numPr>
                <w:ilvl w:val="0"/>
                <w:numId w:val="7"/>
              </w:numPr>
              <w:shd w:val="clear" w:color="auto" w:fill="FFFFFF"/>
              <w:spacing w:after="38"/>
              <w:ind w:leftChars="0"/>
              <w:rPr>
                <w:rFonts w:asciiTheme="minorEastAsia" w:eastAsiaTheme="minorEastAsia" w:hAnsiTheme="minorEastAsia" w:cs="新細明體"/>
                <w:kern w:val="0"/>
              </w:rPr>
            </w:pPr>
            <w:r w:rsidRPr="0068295D">
              <w:rPr>
                <w:rFonts w:asciiTheme="minorEastAsia" w:eastAsiaTheme="minorEastAsia" w:hAnsiTheme="minorEastAsia" w:cs="新細明體" w:hint="eastAsia"/>
                <w:kern w:val="0"/>
              </w:rPr>
              <w:t>提供了解個體的感覺處理偏好。</w:t>
            </w:r>
          </w:p>
          <w:p w:rsidR="00924709" w:rsidRPr="0068295D" w:rsidRDefault="00924709" w:rsidP="004C7601">
            <w:pPr>
              <w:pStyle w:val="a4"/>
              <w:widowControl/>
              <w:numPr>
                <w:ilvl w:val="0"/>
                <w:numId w:val="7"/>
              </w:numPr>
              <w:shd w:val="clear" w:color="auto" w:fill="FFFFFF"/>
              <w:spacing w:after="38"/>
              <w:ind w:leftChars="0"/>
              <w:rPr>
                <w:rFonts w:asciiTheme="minorEastAsia" w:eastAsiaTheme="minorEastAsia" w:hAnsiTheme="minorEastAsia" w:cs="新細明體"/>
                <w:kern w:val="0"/>
              </w:rPr>
            </w:pPr>
            <w:r w:rsidRPr="0068295D">
              <w:rPr>
                <w:rFonts w:asciiTheme="minorEastAsia" w:eastAsiaTheme="minorEastAsia" w:hAnsiTheme="minorEastAsia" w:cs="新細明體" w:hint="eastAsia"/>
                <w:kern w:val="0"/>
              </w:rPr>
              <w:t>建立感覺處理與日常經驗間的連結。</w:t>
            </w:r>
          </w:p>
          <w:p w:rsidR="00924709" w:rsidRPr="0068295D" w:rsidRDefault="00924709" w:rsidP="004C7601">
            <w:pPr>
              <w:pStyle w:val="a4"/>
              <w:widowControl/>
              <w:numPr>
                <w:ilvl w:val="0"/>
                <w:numId w:val="7"/>
              </w:numPr>
              <w:shd w:val="clear" w:color="auto" w:fill="FFFFFF"/>
              <w:spacing w:after="38"/>
              <w:ind w:leftChars="0"/>
              <w:rPr>
                <w:rFonts w:asciiTheme="minorEastAsia" w:eastAsiaTheme="minorEastAsia" w:hAnsiTheme="minorEastAsia" w:cs="新細明體"/>
                <w:kern w:val="0"/>
              </w:rPr>
            </w:pPr>
            <w:r w:rsidRPr="0068295D">
              <w:rPr>
                <w:rFonts w:asciiTheme="minorEastAsia" w:eastAsiaTheme="minorEastAsia" w:hAnsiTheme="minorEastAsia" w:cs="新細明體" w:hint="eastAsia"/>
                <w:kern w:val="0"/>
              </w:rPr>
              <w:t>個體自填問卷可讓個體參與評估與介入過程，同時將個體的特殊處理偏好考量在內，能形成較一致的介入計畫。</w:t>
            </w:r>
          </w:p>
          <w:p w:rsidR="00924709" w:rsidRPr="0068295D" w:rsidRDefault="00924709" w:rsidP="004C7601">
            <w:pPr>
              <w:pStyle w:val="a4"/>
              <w:widowControl/>
              <w:numPr>
                <w:ilvl w:val="0"/>
                <w:numId w:val="7"/>
              </w:numPr>
              <w:shd w:val="clear" w:color="auto" w:fill="FFFFFF"/>
              <w:spacing w:after="38"/>
              <w:ind w:leftChars="0"/>
              <w:rPr>
                <w:rFonts w:asciiTheme="minorEastAsia" w:eastAsiaTheme="minorEastAsia" w:hAnsiTheme="minorEastAsia" w:cs="新細明體"/>
                <w:kern w:val="0"/>
              </w:rPr>
            </w:pPr>
            <w:r w:rsidRPr="0068295D">
              <w:rPr>
                <w:rFonts w:asciiTheme="minorEastAsia" w:eastAsiaTheme="minorEastAsia" w:hAnsiTheme="minorEastAsia" w:cs="新細明體" w:hint="eastAsia"/>
                <w:kern w:val="0"/>
              </w:rPr>
              <w:lastRenderedPageBreak/>
              <w:t>可做為研究或臨床用途。</w:t>
            </w:r>
          </w:p>
        </w:tc>
      </w:tr>
    </w:tbl>
    <w:p w:rsidR="004760D0" w:rsidRPr="0068295D" w:rsidRDefault="004760D0"/>
    <w:p w:rsidR="004C7601" w:rsidRPr="0068295D" w:rsidRDefault="004C7601">
      <w:pPr>
        <w:rPr>
          <w:rFonts w:ascii="新細明體" w:hAnsi="新細明體"/>
          <w:b/>
          <w:shd w:val="clear" w:color="auto" w:fill="FFFFFF"/>
        </w:rPr>
      </w:pPr>
      <w:r w:rsidRPr="0068295D">
        <w:rPr>
          <w:rFonts w:ascii="新細明體" w:hAnsi="新細明體" w:hint="eastAsia"/>
          <w:b/>
          <w:shd w:val="clear" w:color="auto" w:fill="FFFFFF"/>
        </w:rPr>
        <w:t>PAC測評中心</w:t>
      </w:r>
      <w:r w:rsidRPr="0068295D">
        <w:rPr>
          <w:rStyle w:val="apple-converted-space"/>
          <w:rFonts w:ascii="新細明體" w:hAnsi="新細明體" w:hint="eastAsia"/>
          <w:b/>
          <w:shd w:val="clear" w:color="auto" w:fill="FFFFFF"/>
        </w:rPr>
        <w:t> </w:t>
      </w:r>
      <w:r w:rsidRPr="0068295D">
        <w:rPr>
          <w:rFonts w:ascii="新細明體" w:hAnsi="新細明體" w:hint="eastAsia"/>
          <w:b/>
          <w:shd w:val="clear" w:color="auto" w:fill="FFFFFF"/>
        </w:rPr>
        <w:t>/</w:t>
      </w:r>
      <w:r w:rsidRPr="0068295D">
        <w:rPr>
          <w:rStyle w:val="apple-converted-space"/>
          <w:rFonts w:ascii="新細明體" w:hAnsi="新細明體" w:hint="eastAsia"/>
          <w:b/>
          <w:shd w:val="clear" w:color="auto" w:fill="FFFFFF"/>
        </w:rPr>
        <w:t> </w:t>
      </w:r>
      <w:r w:rsidRPr="0068295D">
        <w:rPr>
          <w:rFonts w:ascii="新細明體" w:hAnsi="新細明體" w:hint="eastAsia"/>
          <w:b/>
          <w:shd w:val="clear" w:color="auto" w:fill="FFFFFF"/>
        </w:rPr>
        <w:t>測驗出版社</w:t>
      </w:r>
    </w:p>
    <w:tbl>
      <w:tblPr>
        <w:tblStyle w:val="a3"/>
        <w:tblW w:w="0" w:type="auto"/>
        <w:tblLook w:val="04A0"/>
      </w:tblPr>
      <w:tblGrid>
        <w:gridCol w:w="534"/>
        <w:gridCol w:w="1417"/>
        <w:gridCol w:w="992"/>
        <w:gridCol w:w="5579"/>
      </w:tblGrid>
      <w:tr w:rsidR="00924709" w:rsidRPr="0068295D" w:rsidTr="00924709">
        <w:tc>
          <w:tcPr>
            <w:tcW w:w="534" w:type="dxa"/>
          </w:tcPr>
          <w:p w:rsidR="00924709" w:rsidRPr="0068295D" w:rsidRDefault="00924709" w:rsidP="008C11D8">
            <w:r w:rsidRPr="0068295D">
              <w:rPr>
                <w:rFonts w:hint="eastAsia"/>
              </w:rPr>
              <w:t>序號</w:t>
            </w:r>
          </w:p>
        </w:tc>
        <w:tc>
          <w:tcPr>
            <w:tcW w:w="1417" w:type="dxa"/>
          </w:tcPr>
          <w:p w:rsidR="00924709" w:rsidRPr="0068295D" w:rsidRDefault="00924709" w:rsidP="008C11D8">
            <w:r w:rsidRPr="0068295D">
              <w:rPr>
                <w:rFonts w:hint="eastAsia"/>
              </w:rPr>
              <w:t>測驗名稱</w:t>
            </w:r>
          </w:p>
        </w:tc>
        <w:tc>
          <w:tcPr>
            <w:tcW w:w="992" w:type="dxa"/>
          </w:tcPr>
          <w:p w:rsidR="00924709" w:rsidRPr="0068295D" w:rsidRDefault="00924709" w:rsidP="008C11D8">
            <w:r w:rsidRPr="0068295D">
              <w:rPr>
                <w:rFonts w:hint="eastAsia"/>
              </w:rPr>
              <w:t>適用對象</w:t>
            </w:r>
          </w:p>
        </w:tc>
        <w:tc>
          <w:tcPr>
            <w:tcW w:w="5579" w:type="dxa"/>
          </w:tcPr>
          <w:p w:rsidR="00924709" w:rsidRPr="0068295D" w:rsidRDefault="00924709" w:rsidP="008C11D8">
            <w:r w:rsidRPr="0068295D">
              <w:rPr>
                <w:rFonts w:hint="eastAsia"/>
              </w:rPr>
              <w:t>測驗功能說明</w:t>
            </w:r>
          </w:p>
        </w:tc>
      </w:tr>
      <w:tr w:rsidR="00924709" w:rsidRPr="0068295D" w:rsidTr="0068295D">
        <w:trPr>
          <w:trHeight w:val="4429"/>
        </w:trPr>
        <w:tc>
          <w:tcPr>
            <w:tcW w:w="534" w:type="dxa"/>
          </w:tcPr>
          <w:p w:rsidR="00924709" w:rsidRPr="0068295D" w:rsidRDefault="00924709" w:rsidP="008C11D8">
            <w:pPr>
              <w:rPr>
                <w:rFonts w:asciiTheme="minorEastAsia" w:eastAsiaTheme="minorEastAsia" w:hAnsiTheme="minorEastAsia"/>
                <w:bCs/>
                <w:shd w:val="clear" w:color="auto" w:fill="FFFFFF"/>
              </w:rPr>
            </w:pPr>
            <w:r w:rsidRPr="0068295D">
              <w:rPr>
                <w:rFonts w:asciiTheme="minorEastAsia" w:eastAsiaTheme="minorEastAsia" w:hAnsiTheme="minorEastAsia" w:hint="eastAsia"/>
                <w:bCs/>
                <w:shd w:val="clear" w:color="auto" w:fill="FFFFFF"/>
              </w:rPr>
              <w:t>1</w:t>
            </w:r>
          </w:p>
        </w:tc>
        <w:tc>
          <w:tcPr>
            <w:tcW w:w="1417" w:type="dxa"/>
          </w:tcPr>
          <w:p w:rsidR="00924709" w:rsidRPr="0068295D" w:rsidRDefault="00924709" w:rsidP="008C11D8">
            <w:pPr>
              <w:rPr>
                <w:rFonts w:asciiTheme="minorEastAsia" w:eastAsiaTheme="minorEastAsia" w:hAnsiTheme="minorEastAsia"/>
              </w:rPr>
            </w:pPr>
            <w:r w:rsidRPr="0068295D">
              <w:rPr>
                <w:rFonts w:asciiTheme="minorEastAsia" w:eastAsiaTheme="minorEastAsia" w:hAnsiTheme="minorEastAsia" w:hint="eastAsia"/>
                <w:bCs/>
                <w:shd w:val="clear" w:color="auto" w:fill="FFFFFF"/>
              </w:rPr>
              <w:t>人際行為量表</w:t>
            </w:r>
            <w:r w:rsidRPr="0068295D">
              <w:rPr>
                <w:rStyle w:val="apple-converted-space"/>
                <w:rFonts w:asciiTheme="minorEastAsia" w:eastAsiaTheme="minorEastAsia" w:hAnsiTheme="minorEastAsia" w:hint="eastAsia"/>
                <w:bCs/>
                <w:shd w:val="clear" w:color="auto" w:fill="FFFFFF"/>
              </w:rPr>
              <w:t> </w:t>
            </w:r>
            <w:r w:rsidRPr="0068295D">
              <w:rPr>
                <w:rFonts w:asciiTheme="minorEastAsia" w:eastAsiaTheme="minorEastAsia" w:hAnsiTheme="minorEastAsia" w:hint="eastAsia"/>
                <w:bCs/>
                <w:shd w:val="clear" w:color="auto" w:fill="FFFFFF"/>
              </w:rPr>
              <w:t>IBS</w:t>
            </w:r>
          </w:p>
        </w:tc>
        <w:tc>
          <w:tcPr>
            <w:tcW w:w="992" w:type="dxa"/>
          </w:tcPr>
          <w:p w:rsidR="00924709" w:rsidRPr="0068295D" w:rsidRDefault="00924709" w:rsidP="008C11D8">
            <w:pPr>
              <w:rPr>
                <w:rFonts w:asciiTheme="minorEastAsia" w:eastAsiaTheme="minorEastAsia" w:hAnsiTheme="minorEastAsia"/>
              </w:rPr>
            </w:pPr>
            <w:r w:rsidRPr="0068295D">
              <w:rPr>
                <w:rFonts w:asciiTheme="minorEastAsia" w:eastAsiaTheme="minorEastAsia" w:hAnsiTheme="minorEastAsia" w:hint="eastAsia"/>
                <w:shd w:val="clear" w:color="auto" w:fill="FFFFFF"/>
              </w:rPr>
              <w:t>高中職</w:t>
            </w:r>
          </w:p>
        </w:tc>
        <w:tc>
          <w:tcPr>
            <w:tcW w:w="5579" w:type="dxa"/>
          </w:tcPr>
          <w:p w:rsidR="00924709" w:rsidRPr="0068295D" w:rsidRDefault="00924709" w:rsidP="00C97E3D">
            <w:pPr>
              <w:pStyle w:val="a4"/>
              <w:numPr>
                <w:ilvl w:val="0"/>
                <w:numId w:val="22"/>
              </w:numPr>
              <w:ind w:leftChars="0"/>
              <w:rPr>
                <w:rFonts w:asciiTheme="minorEastAsia" w:eastAsiaTheme="minorEastAsia" w:hAnsiTheme="minorEastAsia"/>
              </w:rPr>
            </w:pPr>
            <w:r w:rsidRPr="0068295D">
              <w:rPr>
                <w:rFonts w:asciiTheme="minorEastAsia" w:eastAsiaTheme="minorEastAsia" w:hAnsiTheme="minorEastAsia" w:hint="eastAsia"/>
              </w:rPr>
              <w:t>美國WPS獨家授權中文版「人際行為量表」，協助了解個體對自我信心及與人相處的各種風貌。</w:t>
            </w:r>
          </w:p>
          <w:p w:rsidR="00924709" w:rsidRPr="0068295D" w:rsidRDefault="00924709" w:rsidP="004C7601">
            <w:pPr>
              <w:pStyle w:val="a4"/>
              <w:numPr>
                <w:ilvl w:val="0"/>
                <w:numId w:val="22"/>
              </w:numPr>
              <w:ind w:leftChars="0"/>
              <w:rPr>
                <w:rFonts w:asciiTheme="minorEastAsia" w:eastAsiaTheme="minorEastAsia" w:hAnsiTheme="minorEastAsia"/>
              </w:rPr>
            </w:pPr>
            <w:r w:rsidRPr="0068295D">
              <w:rPr>
                <w:rFonts w:asciiTheme="minorEastAsia" w:eastAsiaTheme="minorEastAsia" w:hAnsiTheme="minorEastAsia" w:hint="eastAsia"/>
              </w:rPr>
              <w:t>協助學生了解｢自我肯定行為」與「攻擊行為」的差異。</w:t>
            </w:r>
          </w:p>
          <w:p w:rsidR="00924709" w:rsidRPr="0068295D" w:rsidRDefault="00924709" w:rsidP="004C7601">
            <w:pPr>
              <w:pStyle w:val="a4"/>
              <w:numPr>
                <w:ilvl w:val="0"/>
                <w:numId w:val="22"/>
              </w:numPr>
              <w:ind w:leftChars="0"/>
              <w:rPr>
                <w:rFonts w:asciiTheme="minorEastAsia" w:eastAsiaTheme="minorEastAsia" w:hAnsiTheme="minorEastAsia"/>
              </w:rPr>
            </w:pPr>
            <w:r w:rsidRPr="0068295D">
              <w:rPr>
                <w:rFonts w:asciiTheme="minorEastAsia" w:eastAsiaTheme="minorEastAsia" w:hAnsiTheme="minorEastAsia" w:hint="eastAsia"/>
              </w:rPr>
              <w:t>顯示學生在校園生活中的互動、感受、控制、防衛等一般行為的協調性。</w:t>
            </w:r>
          </w:p>
          <w:p w:rsidR="00924709" w:rsidRPr="0068295D" w:rsidRDefault="00924709" w:rsidP="004C7601">
            <w:pPr>
              <w:pStyle w:val="a4"/>
              <w:numPr>
                <w:ilvl w:val="0"/>
                <w:numId w:val="22"/>
              </w:numPr>
              <w:ind w:leftChars="0"/>
              <w:rPr>
                <w:rFonts w:asciiTheme="minorEastAsia" w:eastAsiaTheme="minorEastAsia" w:hAnsiTheme="minorEastAsia"/>
              </w:rPr>
            </w:pPr>
            <w:r w:rsidRPr="0068295D">
              <w:rPr>
                <w:rFonts w:asciiTheme="minorEastAsia" w:eastAsiaTheme="minorEastAsia" w:hAnsiTheme="minorEastAsia" w:hint="eastAsia"/>
              </w:rPr>
              <w:t>具備評量「故意表現好」和「符合社會期望」等行為科學認定作假等反應計分方式，檢測受測者是否</w:t>
            </w:r>
          </w:p>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rPr>
              <w:t xml:space="preserve">    已符合社會期望的方式回答。</w:t>
            </w:r>
          </w:p>
          <w:p w:rsidR="00924709" w:rsidRPr="0068295D" w:rsidRDefault="00924709" w:rsidP="00C97E3D">
            <w:pPr>
              <w:pStyle w:val="ecxmsonormal"/>
              <w:numPr>
                <w:ilvl w:val="0"/>
                <w:numId w:val="22"/>
              </w:numPr>
              <w:shd w:val="clear" w:color="auto" w:fill="FFFFFF"/>
              <w:spacing w:before="0" w:beforeAutospacing="0" w:after="324" w:afterAutospacing="0" w:line="267" w:lineRule="atLeast"/>
              <w:rPr>
                <w:rFonts w:asciiTheme="minorEastAsia" w:eastAsiaTheme="minorEastAsia" w:hAnsiTheme="minorEastAsia"/>
              </w:rPr>
            </w:pPr>
            <w:r w:rsidRPr="0068295D">
              <w:rPr>
                <w:rFonts w:asciiTheme="minorEastAsia" w:eastAsiaTheme="minorEastAsia" w:hAnsiTheme="minorEastAsia" w:hint="eastAsia"/>
              </w:rPr>
              <w:t>評估人際情況，協助受測者以適當且有助益的正面態度去面對。</w:t>
            </w:r>
          </w:p>
        </w:tc>
      </w:tr>
      <w:tr w:rsidR="00924709" w:rsidRPr="0068295D" w:rsidTr="0068295D">
        <w:trPr>
          <w:trHeight w:val="6294"/>
        </w:trPr>
        <w:tc>
          <w:tcPr>
            <w:tcW w:w="534" w:type="dxa"/>
          </w:tcPr>
          <w:p w:rsidR="00924709" w:rsidRPr="0068295D" w:rsidRDefault="00924709" w:rsidP="008C11D8">
            <w:pPr>
              <w:rPr>
                <w:rFonts w:ascii="新細明體" w:hAnsi="新細明體"/>
                <w:bCs/>
                <w:shd w:val="clear" w:color="auto" w:fill="FFFFFF"/>
              </w:rPr>
            </w:pPr>
            <w:r w:rsidRPr="0068295D">
              <w:rPr>
                <w:rFonts w:ascii="新細明體" w:hAnsi="新細明體" w:hint="eastAsia"/>
                <w:bCs/>
                <w:shd w:val="clear" w:color="auto" w:fill="FFFFFF"/>
              </w:rPr>
              <w:t>2</w:t>
            </w:r>
          </w:p>
        </w:tc>
        <w:tc>
          <w:tcPr>
            <w:tcW w:w="1417" w:type="dxa"/>
          </w:tcPr>
          <w:p w:rsidR="00924709" w:rsidRPr="0068295D" w:rsidRDefault="00924709" w:rsidP="008C11D8">
            <w:pPr>
              <w:rPr>
                <w:rFonts w:ascii="新細明體" w:hAnsi="新細明體"/>
                <w:bCs/>
                <w:shd w:val="clear" w:color="auto" w:fill="FFFFFF"/>
              </w:rPr>
            </w:pPr>
            <w:r w:rsidRPr="0068295D">
              <w:rPr>
                <w:rFonts w:ascii="新細明體" w:hAnsi="新細明體" w:hint="eastAsia"/>
                <w:bCs/>
                <w:shd w:val="clear" w:color="auto" w:fill="FFFFFF"/>
              </w:rPr>
              <w:t>健康性格習慣量表HPH</w:t>
            </w:r>
          </w:p>
        </w:tc>
        <w:tc>
          <w:tcPr>
            <w:tcW w:w="992" w:type="dxa"/>
          </w:tcPr>
          <w:p w:rsidR="00924709" w:rsidRPr="0068295D" w:rsidRDefault="00924709" w:rsidP="008C11D8">
            <w:pPr>
              <w:rPr>
                <w:rFonts w:ascii="新細明體" w:hAnsi="新細明體"/>
                <w:shd w:val="clear" w:color="auto" w:fill="FFFFFF"/>
              </w:rPr>
            </w:pPr>
            <w:r w:rsidRPr="0068295D">
              <w:rPr>
                <w:rFonts w:ascii="新細明體" w:hAnsi="新細明體" w:hint="eastAsia"/>
                <w:shd w:val="clear" w:color="auto" w:fill="FFFFFF"/>
              </w:rPr>
              <w:t>國高中以上</w:t>
            </w:r>
          </w:p>
        </w:tc>
        <w:tc>
          <w:tcPr>
            <w:tcW w:w="5579" w:type="dxa"/>
          </w:tcPr>
          <w:p w:rsidR="0068295D" w:rsidRPr="0068295D" w:rsidRDefault="0068295D" w:rsidP="0068295D">
            <w:pPr>
              <w:pStyle w:val="ecxmsonormal"/>
              <w:numPr>
                <w:ilvl w:val="0"/>
                <w:numId w:val="23"/>
              </w:numPr>
              <w:shd w:val="clear" w:color="auto" w:fill="FFFFFF"/>
              <w:spacing w:after="324" w:line="267" w:lineRule="atLeast"/>
              <w:rPr>
                <w:rFonts w:hint="eastAsia"/>
              </w:rPr>
            </w:pPr>
            <w:r w:rsidRPr="0068295D">
              <w:rPr>
                <w:rFonts w:hint="eastAsia"/>
              </w:rPr>
              <w:t>快速瞭解個案罹患心理疾患的程度與傾向。</w:t>
            </w:r>
          </w:p>
          <w:p w:rsidR="0068295D" w:rsidRPr="0068295D" w:rsidRDefault="0068295D" w:rsidP="0068295D">
            <w:pPr>
              <w:pStyle w:val="ecxmsonormal"/>
              <w:numPr>
                <w:ilvl w:val="0"/>
                <w:numId w:val="23"/>
              </w:numPr>
              <w:shd w:val="clear" w:color="auto" w:fill="FFFFFF"/>
              <w:spacing w:after="324" w:line="267" w:lineRule="atLeast"/>
              <w:rPr>
                <w:rFonts w:hint="eastAsia"/>
              </w:rPr>
            </w:pPr>
            <w:r w:rsidRPr="0068295D">
              <w:rPr>
                <w:rFonts w:hint="eastAsia"/>
              </w:rPr>
              <w:t>全面瞭解個案整體心理功能的概況與心理健康程度。</w:t>
            </w:r>
          </w:p>
          <w:p w:rsidR="0068295D" w:rsidRPr="0068295D" w:rsidRDefault="0068295D" w:rsidP="0068295D">
            <w:pPr>
              <w:pStyle w:val="ecxmsonormal"/>
              <w:numPr>
                <w:ilvl w:val="0"/>
                <w:numId w:val="23"/>
              </w:numPr>
              <w:shd w:val="clear" w:color="auto" w:fill="FFFFFF"/>
              <w:spacing w:after="324" w:line="267" w:lineRule="atLeast"/>
              <w:rPr>
                <w:rFonts w:hint="eastAsia"/>
              </w:rPr>
            </w:pPr>
            <w:r w:rsidRPr="0068295D">
              <w:rPr>
                <w:rFonts w:hint="eastAsia"/>
              </w:rPr>
              <w:t>符合現代精神醫學架構與DSM-Ⅳ準則之普測工具，快速掌握同學心理問題傾向，內容包含三大部分：‧ 三大類型心理疾患罹患程度，包括A量尺：精神病傾向、B量尺：焦慮障礙（或精神官能症）傾向、C量尺：人格疾患傾向。‧ 整體心理功能概況。‧ 心理健康程度和作答誠實度自評（D量尺）。</w:t>
            </w:r>
          </w:p>
          <w:p w:rsidR="0068295D" w:rsidRPr="0068295D" w:rsidRDefault="0068295D" w:rsidP="0068295D">
            <w:pPr>
              <w:pStyle w:val="ecxmsonormal"/>
              <w:numPr>
                <w:ilvl w:val="0"/>
                <w:numId w:val="23"/>
              </w:numPr>
              <w:shd w:val="clear" w:color="auto" w:fill="FFFFFF"/>
              <w:spacing w:after="324" w:line="267" w:lineRule="atLeast"/>
              <w:rPr>
                <w:rFonts w:hint="eastAsia"/>
              </w:rPr>
            </w:pPr>
            <w:r w:rsidRPr="0068295D">
              <w:rPr>
                <w:rFonts w:hint="eastAsia"/>
              </w:rPr>
              <w:t>有效協助學生諮商輔導中心臨床心理師診斷受測者的疾患傾向與評估其症狀程度。</w:t>
            </w:r>
          </w:p>
          <w:p w:rsidR="0068295D" w:rsidRPr="0068295D" w:rsidRDefault="0068295D" w:rsidP="0068295D">
            <w:pPr>
              <w:pStyle w:val="ecxmsonormal"/>
              <w:numPr>
                <w:ilvl w:val="0"/>
                <w:numId w:val="23"/>
              </w:numPr>
              <w:shd w:val="clear" w:color="auto" w:fill="FFFFFF"/>
              <w:spacing w:after="324" w:line="267" w:lineRule="atLeast"/>
              <w:rPr>
                <w:rFonts w:hint="eastAsia"/>
              </w:rPr>
            </w:pPr>
            <w:r w:rsidRPr="0068295D">
              <w:rPr>
                <w:rFonts w:hint="eastAsia"/>
              </w:rPr>
              <w:t>具體幫助個案訂定治療的計畫與目標。</w:t>
            </w:r>
          </w:p>
          <w:p w:rsidR="0068295D" w:rsidRPr="0068295D" w:rsidRDefault="0068295D" w:rsidP="0068295D">
            <w:pPr>
              <w:pStyle w:val="ecxmsonormal"/>
              <w:numPr>
                <w:ilvl w:val="0"/>
                <w:numId w:val="23"/>
              </w:numPr>
              <w:shd w:val="clear" w:color="auto" w:fill="FFFFFF"/>
              <w:spacing w:after="324" w:line="267" w:lineRule="atLeast"/>
              <w:rPr>
                <w:rFonts w:hint="eastAsia"/>
              </w:rPr>
            </w:pPr>
            <w:r w:rsidRPr="0068295D">
              <w:rPr>
                <w:rFonts w:hint="eastAsia"/>
              </w:rPr>
              <w:t>可依個案情形及其可接受的施測時間，選擇需了解的心理症狀的量尺與D版組合。</w:t>
            </w:r>
          </w:p>
          <w:p w:rsidR="00924709" w:rsidRPr="0068295D" w:rsidRDefault="0068295D" w:rsidP="0068295D">
            <w:pPr>
              <w:pStyle w:val="ecxmsonormal"/>
              <w:numPr>
                <w:ilvl w:val="0"/>
                <w:numId w:val="23"/>
              </w:numPr>
              <w:shd w:val="clear" w:color="auto" w:fill="FFFFFF"/>
              <w:spacing w:after="324" w:line="267" w:lineRule="atLeast"/>
              <w:rPr>
                <w:rFonts w:hint="eastAsia"/>
              </w:rPr>
            </w:pPr>
            <w:r w:rsidRPr="0068295D">
              <w:rPr>
                <w:rFonts w:hint="eastAsia"/>
              </w:rPr>
              <w:t>其他應用如認知功能、情緒狀態、人格特質、人際關係。</w:t>
            </w:r>
          </w:p>
        </w:tc>
      </w:tr>
      <w:tr w:rsidR="00924709" w:rsidRPr="0068295D" w:rsidTr="0068295D">
        <w:trPr>
          <w:trHeight w:val="3818"/>
        </w:trPr>
        <w:tc>
          <w:tcPr>
            <w:tcW w:w="534" w:type="dxa"/>
          </w:tcPr>
          <w:p w:rsidR="00924709" w:rsidRPr="0068295D" w:rsidRDefault="00924709" w:rsidP="008C11D8">
            <w:pPr>
              <w:rPr>
                <w:rFonts w:asciiTheme="minorEastAsia" w:eastAsiaTheme="minorEastAsia" w:hAnsiTheme="minorEastAsia"/>
                <w:bCs/>
                <w:shd w:val="clear" w:color="auto" w:fill="FFFFFF"/>
              </w:rPr>
            </w:pPr>
            <w:r w:rsidRPr="0068295D">
              <w:rPr>
                <w:rFonts w:asciiTheme="minorEastAsia" w:eastAsiaTheme="minorEastAsia" w:hAnsiTheme="minorEastAsia" w:hint="eastAsia"/>
                <w:bCs/>
                <w:shd w:val="clear" w:color="auto" w:fill="FFFFFF"/>
              </w:rPr>
              <w:lastRenderedPageBreak/>
              <w:t>3</w:t>
            </w:r>
          </w:p>
        </w:tc>
        <w:tc>
          <w:tcPr>
            <w:tcW w:w="1417" w:type="dxa"/>
          </w:tcPr>
          <w:p w:rsidR="00924709" w:rsidRPr="0068295D" w:rsidRDefault="00924709" w:rsidP="008C11D8">
            <w:pPr>
              <w:rPr>
                <w:rFonts w:asciiTheme="minorEastAsia" w:eastAsiaTheme="minorEastAsia" w:hAnsiTheme="minorEastAsia"/>
              </w:rPr>
            </w:pPr>
            <w:r w:rsidRPr="0068295D">
              <w:rPr>
                <w:rFonts w:asciiTheme="minorEastAsia" w:eastAsiaTheme="minorEastAsia" w:hAnsiTheme="minorEastAsia" w:hint="eastAsia"/>
                <w:bCs/>
                <w:shd w:val="clear" w:color="auto" w:fill="FFFFFF"/>
              </w:rPr>
              <w:t>生氣情緒反應量表EARS</w:t>
            </w:r>
          </w:p>
        </w:tc>
        <w:tc>
          <w:tcPr>
            <w:tcW w:w="992" w:type="dxa"/>
          </w:tcPr>
          <w:p w:rsidR="00924709" w:rsidRPr="0068295D" w:rsidRDefault="00924709" w:rsidP="008C11D8">
            <w:pPr>
              <w:rPr>
                <w:rFonts w:asciiTheme="minorEastAsia" w:eastAsiaTheme="minorEastAsia" w:hAnsiTheme="minorEastAsia"/>
              </w:rPr>
            </w:pPr>
            <w:r w:rsidRPr="0068295D">
              <w:rPr>
                <w:rFonts w:asciiTheme="minorEastAsia" w:eastAsiaTheme="minorEastAsia" w:hAnsiTheme="minorEastAsia" w:hint="eastAsia"/>
                <w:shd w:val="clear" w:color="auto" w:fill="FFFFFF"/>
              </w:rPr>
              <w:t>國高中</w:t>
            </w:r>
          </w:p>
        </w:tc>
        <w:tc>
          <w:tcPr>
            <w:tcW w:w="5579" w:type="dxa"/>
          </w:tcPr>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rPr>
              <w:t>1.本測驗以學校情境為主，分為生氣經驗、生氣認知及生氣因應三個層面來檢視。</w:t>
            </w:r>
          </w:p>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rPr>
              <w:t>2. 協助學生有認知重建，防範暴力於未然。</w:t>
            </w:r>
          </w:p>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rPr>
              <w:t>3. 區辨學生在「生氣經驗」、「認知觀點」、「生氣因應」的理性程度。</w:t>
            </w:r>
          </w:p>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rPr>
              <w:t>4. 可經由全校或班級普測結果，融入生命教育及友善校園計畫相關課程，引導學生採理性、冷靜的</w:t>
            </w:r>
          </w:p>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rPr>
              <w:t xml:space="preserve">    應對方式去處理或轉移個人憤怒。</w:t>
            </w:r>
          </w:p>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rPr>
              <w:t>5. 題數少且題幹易懂，相對提高學生作答意願。</w:t>
            </w:r>
          </w:p>
          <w:p w:rsidR="00924709" w:rsidRPr="0068295D" w:rsidRDefault="00924709" w:rsidP="004C7601">
            <w:pPr>
              <w:rPr>
                <w:rFonts w:asciiTheme="minorEastAsia" w:eastAsiaTheme="minorEastAsia" w:hAnsiTheme="minorEastAsia"/>
              </w:rPr>
            </w:pPr>
            <w:r w:rsidRPr="0068295D">
              <w:rPr>
                <w:rFonts w:asciiTheme="minorEastAsia" w:eastAsiaTheme="minorEastAsia" w:hAnsiTheme="minorEastAsia" w:hint="eastAsia"/>
              </w:rPr>
              <w:t>6. 每年新生普測，降低校園霸凌憾事發生機會。</w:t>
            </w:r>
          </w:p>
        </w:tc>
      </w:tr>
    </w:tbl>
    <w:p w:rsidR="004C7601" w:rsidRPr="0068295D" w:rsidRDefault="004C7601">
      <w:pPr>
        <w:rPr>
          <w:rFonts w:hint="eastAsia"/>
        </w:rPr>
      </w:pPr>
    </w:p>
    <w:sectPr w:rsidR="004C7601" w:rsidRPr="0068295D" w:rsidSect="005B7D0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554" w:rsidRDefault="00CC1554" w:rsidP="00604DD4">
      <w:r>
        <w:separator/>
      </w:r>
    </w:p>
  </w:endnote>
  <w:endnote w:type="continuationSeparator" w:id="1">
    <w:p w:rsidR="00CC1554" w:rsidRDefault="00CC1554" w:rsidP="00604DD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554" w:rsidRDefault="00CC1554" w:rsidP="00604DD4">
      <w:r>
        <w:separator/>
      </w:r>
    </w:p>
  </w:footnote>
  <w:footnote w:type="continuationSeparator" w:id="1">
    <w:p w:rsidR="00CC1554" w:rsidRDefault="00CC1554" w:rsidP="00604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1EE7"/>
    <w:multiLevelType w:val="hybridMultilevel"/>
    <w:tmpl w:val="995270DA"/>
    <w:lvl w:ilvl="0" w:tplc="F160B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B75EDB"/>
    <w:multiLevelType w:val="hybridMultilevel"/>
    <w:tmpl w:val="59D6E1BE"/>
    <w:lvl w:ilvl="0" w:tplc="FFE22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6F44B6"/>
    <w:multiLevelType w:val="hybridMultilevel"/>
    <w:tmpl w:val="50F4369E"/>
    <w:lvl w:ilvl="0" w:tplc="57CE0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1A28DC"/>
    <w:multiLevelType w:val="hybridMultilevel"/>
    <w:tmpl w:val="64104F76"/>
    <w:lvl w:ilvl="0" w:tplc="D32E3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9533BD"/>
    <w:multiLevelType w:val="hybridMultilevel"/>
    <w:tmpl w:val="91E483C8"/>
    <w:lvl w:ilvl="0" w:tplc="7B8E91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4B38E3"/>
    <w:multiLevelType w:val="hybridMultilevel"/>
    <w:tmpl w:val="EBF49F6E"/>
    <w:lvl w:ilvl="0" w:tplc="EC9E1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34B44B7"/>
    <w:multiLevelType w:val="hybridMultilevel"/>
    <w:tmpl w:val="063EDEDE"/>
    <w:lvl w:ilvl="0" w:tplc="1E180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957A01"/>
    <w:multiLevelType w:val="hybridMultilevel"/>
    <w:tmpl w:val="C75820DC"/>
    <w:lvl w:ilvl="0" w:tplc="7366A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B91301"/>
    <w:multiLevelType w:val="hybridMultilevel"/>
    <w:tmpl w:val="995270DA"/>
    <w:lvl w:ilvl="0" w:tplc="F160B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BB068ED"/>
    <w:multiLevelType w:val="hybridMultilevel"/>
    <w:tmpl w:val="F7CCF830"/>
    <w:lvl w:ilvl="0" w:tplc="25C0A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BC1875"/>
    <w:multiLevelType w:val="multilevel"/>
    <w:tmpl w:val="113A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14188B"/>
    <w:multiLevelType w:val="hybridMultilevel"/>
    <w:tmpl w:val="B12EDFD2"/>
    <w:lvl w:ilvl="0" w:tplc="F160B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5F72C82"/>
    <w:multiLevelType w:val="hybridMultilevel"/>
    <w:tmpl w:val="19FC2C36"/>
    <w:lvl w:ilvl="0" w:tplc="82301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8B4584"/>
    <w:multiLevelType w:val="hybridMultilevel"/>
    <w:tmpl w:val="C5FA95AA"/>
    <w:lvl w:ilvl="0" w:tplc="F160B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8A33C05"/>
    <w:multiLevelType w:val="hybridMultilevel"/>
    <w:tmpl w:val="E7F2CF22"/>
    <w:lvl w:ilvl="0" w:tplc="F160B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0794383"/>
    <w:multiLevelType w:val="hybridMultilevel"/>
    <w:tmpl w:val="29109F82"/>
    <w:lvl w:ilvl="0" w:tplc="6B2E5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C1938C7"/>
    <w:multiLevelType w:val="hybridMultilevel"/>
    <w:tmpl w:val="45CE401E"/>
    <w:lvl w:ilvl="0" w:tplc="A3FC80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23472B"/>
    <w:multiLevelType w:val="hybridMultilevel"/>
    <w:tmpl w:val="D408C096"/>
    <w:lvl w:ilvl="0" w:tplc="1354C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DE4FDF"/>
    <w:multiLevelType w:val="multilevel"/>
    <w:tmpl w:val="DA78E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7F3637"/>
    <w:multiLevelType w:val="hybridMultilevel"/>
    <w:tmpl w:val="B12689BA"/>
    <w:lvl w:ilvl="0" w:tplc="F160B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A486131"/>
    <w:multiLevelType w:val="hybridMultilevel"/>
    <w:tmpl w:val="89F4E2B6"/>
    <w:lvl w:ilvl="0" w:tplc="E8967C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CA478D7"/>
    <w:multiLevelType w:val="hybridMultilevel"/>
    <w:tmpl w:val="F81497F6"/>
    <w:lvl w:ilvl="0" w:tplc="DDDCC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D224400"/>
    <w:multiLevelType w:val="hybridMultilevel"/>
    <w:tmpl w:val="559A714C"/>
    <w:lvl w:ilvl="0" w:tplc="46661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0"/>
  </w:num>
  <w:num w:numId="3">
    <w:abstractNumId w:val="21"/>
  </w:num>
  <w:num w:numId="4">
    <w:abstractNumId w:val="9"/>
  </w:num>
  <w:num w:numId="5">
    <w:abstractNumId w:val="15"/>
  </w:num>
  <w:num w:numId="6">
    <w:abstractNumId w:val="1"/>
  </w:num>
  <w:num w:numId="7">
    <w:abstractNumId w:val="17"/>
  </w:num>
  <w:num w:numId="8">
    <w:abstractNumId w:val="12"/>
  </w:num>
  <w:num w:numId="9">
    <w:abstractNumId w:val="7"/>
  </w:num>
  <w:num w:numId="10">
    <w:abstractNumId w:val="6"/>
  </w:num>
  <w:num w:numId="11">
    <w:abstractNumId w:val="22"/>
  </w:num>
  <w:num w:numId="12">
    <w:abstractNumId w:val="16"/>
  </w:num>
  <w:num w:numId="13">
    <w:abstractNumId w:val="4"/>
  </w:num>
  <w:num w:numId="14">
    <w:abstractNumId w:val="5"/>
  </w:num>
  <w:num w:numId="15">
    <w:abstractNumId w:val="0"/>
  </w:num>
  <w:num w:numId="16">
    <w:abstractNumId w:val="2"/>
  </w:num>
  <w:num w:numId="17">
    <w:abstractNumId w:val="20"/>
  </w:num>
  <w:num w:numId="18">
    <w:abstractNumId w:val="8"/>
  </w:num>
  <w:num w:numId="19">
    <w:abstractNumId w:val="14"/>
  </w:num>
  <w:num w:numId="20">
    <w:abstractNumId w:val="19"/>
  </w:num>
  <w:num w:numId="21">
    <w:abstractNumId w:val="11"/>
  </w:num>
  <w:num w:numId="22">
    <w:abstractNumId w:val="13"/>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4C0E"/>
    <w:rsid w:val="00044038"/>
    <w:rsid w:val="002710DE"/>
    <w:rsid w:val="004760D0"/>
    <w:rsid w:val="004B4C0E"/>
    <w:rsid w:val="004C7601"/>
    <w:rsid w:val="004D75D3"/>
    <w:rsid w:val="005B7D0C"/>
    <w:rsid w:val="00604DD4"/>
    <w:rsid w:val="006815C8"/>
    <w:rsid w:val="0068295D"/>
    <w:rsid w:val="006C4F34"/>
    <w:rsid w:val="006D4D55"/>
    <w:rsid w:val="00837DF1"/>
    <w:rsid w:val="00924709"/>
    <w:rsid w:val="00C97E3D"/>
    <w:rsid w:val="00CC1554"/>
    <w:rsid w:val="00CF75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0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C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760D0"/>
  </w:style>
  <w:style w:type="paragraph" w:customStyle="1" w:styleId="ecxmsonormal">
    <w:name w:val="ecxmsonormal"/>
    <w:basedOn w:val="a"/>
    <w:rsid w:val="004760D0"/>
    <w:pPr>
      <w:widowControl/>
      <w:spacing w:before="100" w:beforeAutospacing="1" w:after="100" w:afterAutospacing="1"/>
    </w:pPr>
    <w:rPr>
      <w:rFonts w:ascii="新細明體" w:hAnsi="新細明體" w:cs="新細明體"/>
      <w:kern w:val="0"/>
    </w:rPr>
  </w:style>
  <w:style w:type="paragraph" w:styleId="a4">
    <w:name w:val="List Paragraph"/>
    <w:basedOn w:val="a"/>
    <w:uiPriority w:val="34"/>
    <w:qFormat/>
    <w:rsid w:val="004760D0"/>
    <w:pPr>
      <w:ind w:leftChars="200" w:left="480"/>
    </w:pPr>
  </w:style>
  <w:style w:type="paragraph" w:styleId="a5">
    <w:name w:val="header"/>
    <w:basedOn w:val="a"/>
    <w:link w:val="a6"/>
    <w:uiPriority w:val="99"/>
    <w:unhideWhenUsed/>
    <w:rsid w:val="00604DD4"/>
    <w:pPr>
      <w:tabs>
        <w:tab w:val="center" w:pos="4153"/>
        <w:tab w:val="right" w:pos="8306"/>
      </w:tabs>
      <w:snapToGrid w:val="0"/>
    </w:pPr>
    <w:rPr>
      <w:sz w:val="20"/>
      <w:szCs w:val="20"/>
    </w:rPr>
  </w:style>
  <w:style w:type="character" w:customStyle="1" w:styleId="a6">
    <w:name w:val="頁首 字元"/>
    <w:basedOn w:val="a0"/>
    <w:link w:val="a5"/>
    <w:uiPriority w:val="99"/>
    <w:rsid w:val="00604DD4"/>
    <w:rPr>
      <w:kern w:val="2"/>
    </w:rPr>
  </w:style>
  <w:style w:type="paragraph" w:styleId="a7">
    <w:name w:val="footer"/>
    <w:basedOn w:val="a"/>
    <w:link w:val="a8"/>
    <w:uiPriority w:val="99"/>
    <w:unhideWhenUsed/>
    <w:rsid w:val="00604DD4"/>
    <w:pPr>
      <w:tabs>
        <w:tab w:val="center" w:pos="4153"/>
        <w:tab w:val="right" w:pos="8306"/>
      </w:tabs>
      <w:snapToGrid w:val="0"/>
    </w:pPr>
    <w:rPr>
      <w:sz w:val="20"/>
      <w:szCs w:val="20"/>
    </w:rPr>
  </w:style>
  <w:style w:type="character" w:customStyle="1" w:styleId="a8">
    <w:name w:val="頁尾 字元"/>
    <w:basedOn w:val="a0"/>
    <w:link w:val="a7"/>
    <w:uiPriority w:val="99"/>
    <w:rsid w:val="00604DD4"/>
    <w:rPr>
      <w:kern w:val="2"/>
    </w:rPr>
  </w:style>
  <w:style w:type="paragraph" w:styleId="a9">
    <w:name w:val="Balloon Text"/>
    <w:basedOn w:val="a"/>
    <w:link w:val="aa"/>
    <w:uiPriority w:val="99"/>
    <w:semiHidden/>
    <w:unhideWhenUsed/>
    <w:rsid w:val="00604D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04D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615392">
      <w:bodyDiv w:val="1"/>
      <w:marLeft w:val="0"/>
      <w:marRight w:val="0"/>
      <w:marTop w:val="0"/>
      <w:marBottom w:val="0"/>
      <w:divBdr>
        <w:top w:val="none" w:sz="0" w:space="0" w:color="auto"/>
        <w:left w:val="none" w:sz="0" w:space="0" w:color="auto"/>
        <w:bottom w:val="none" w:sz="0" w:space="0" w:color="auto"/>
        <w:right w:val="none" w:sz="0" w:space="0" w:color="auto"/>
      </w:divBdr>
    </w:div>
    <w:div w:id="526456546">
      <w:bodyDiv w:val="1"/>
      <w:marLeft w:val="0"/>
      <w:marRight w:val="0"/>
      <w:marTop w:val="0"/>
      <w:marBottom w:val="0"/>
      <w:divBdr>
        <w:top w:val="none" w:sz="0" w:space="0" w:color="auto"/>
        <w:left w:val="none" w:sz="0" w:space="0" w:color="auto"/>
        <w:bottom w:val="none" w:sz="0" w:space="0" w:color="auto"/>
        <w:right w:val="none" w:sz="0" w:space="0" w:color="auto"/>
      </w:divBdr>
    </w:div>
    <w:div w:id="1066613734">
      <w:bodyDiv w:val="1"/>
      <w:marLeft w:val="0"/>
      <w:marRight w:val="0"/>
      <w:marTop w:val="0"/>
      <w:marBottom w:val="0"/>
      <w:divBdr>
        <w:top w:val="none" w:sz="0" w:space="0" w:color="auto"/>
        <w:left w:val="none" w:sz="0" w:space="0" w:color="auto"/>
        <w:bottom w:val="none" w:sz="0" w:space="0" w:color="auto"/>
        <w:right w:val="none" w:sz="0" w:space="0" w:color="auto"/>
      </w:divBdr>
    </w:div>
    <w:div w:id="1087072116">
      <w:bodyDiv w:val="1"/>
      <w:marLeft w:val="0"/>
      <w:marRight w:val="0"/>
      <w:marTop w:val="0"/>
      <w:marBottom w:val="0"/>
      <w:divBdr>
        <w:top w:val="none" w:sz="0" w:space="0" w:color="auto"/>
        <w:left w:val="none" w:sz="0" w:space="0" w:color="auto"/>
        <w:bottom w:val="none" w:sz="0" w:space="0" w:color="auto"/>
        <w:right w:val="none" w:sz="0" w:space="0" w:color="auto"/>
      </w:divBdr>
    </w:div>
    <w:div w:id="1111821109">
      <w:bodyDiv w:val="1"/>
      <w:marLeft w:val="0"/>
      <w:marRight w:val="0"/>
      <w:marTop w:val="0"/>
      <w:marBottom w:val="0"/>
      <w:divBdr>
        <w:top w:val="none" w:sz="0" w:space="0" w:color="auto"/>
        <w:left w:val="none" w:sz="0" w:space="0" w:color="auto"/>
        <w:bottom w:val="none" w:sz="0" w:space="0" w:color="auto"/>
        <w:right w:val="none" w:sz="0" w:space="0" w:color="auto"/>
      </w:divBdr>
    </w:div>
    <w:div w:id="1155413264">
      <w:bodyDiv w:val="1"/>
      <w:marLeft w:val="0"/>
      <w:marRight w:val="0"/>
      <w:marTop w:val="0"/>
      <w:marBottom w:val="0"/>
      <w:divBdr>
        <w:top w:val="none" w:sz="0" w:space="0" w:color="auto"/>
        <w:left w:val="none" w:sz="0" w:space="0" w:color="auto"/>
        <w:bottom w:val="none" w:sz="0" w:space="0" w:color="auto"/>
        <w:right w:val="none" w:sz="0" w:space="0" w:color="auto"/>
      </w:divBdr>
    </w:div>
    <w:div w:id="12954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417</Words>
  <Characters>2383</Characters>
  <Application>Microsoft Office Word</Application>
  <DocSecurity>0</DocSecurity>
  <Lines>19</Lines>
  <Paragraphs>5</Paragraphs>
  <ScaleCrop>false</ScaleCrop>
  <Company>XProfessional</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2</cp:revision>
  <cp:lastPrinted>2014-05-27T00:15:00Z</cp:lastPrinted>
  <dcterms:created xsi:type="dcterms:W3CDTF">2014-05-27T01:16:00Z</dcterms:created>
  <dcterms:modified xsi:type="dcterms:W3CDTF">2014-05-27T01:16:00Z</dcterms:modified>
</cp:coreProperties>
</file>